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FRS6000 - Anti-Avoidance Rules: Contents</w:t>
      </w:r>
    </w:p>
    <w:p>
      <w:r>
        <w:t>FRS6100    Anti-Avoidance Rules: What are the anti-avoidance exclusions?</w:t>
      </w:r>
    </w:p>
    <w:p>
      <w:r>
        <w:t>FRS6200    Anti-Avoidance Rules: What is the definition of an associated business?</w:t>
      </w:r>
    </w:p>
    <w:p>
      <w:r>
        <w:t>FRS6300    Anti-Avoidance Rules: How are the tests of 'dominant influence' and 'organisational links' to be interpreted?</w:t>
      </w:r>
    </w:p>
    <w:p>
      <w:r>
        <w:t>FRS6400    Anti-Avoidance Rules: Are there any circumstances in which HMRC can allow associated businesses to join or remain in the scheme?</w:t>
      </w:r>
    </w:p>
    <w:p>
      <w:r>
        <w:t>FRS6500    Anti-Avoidance Rules: How is VAT reclaimed on ‘capital expenditure goods’?</w:t>
      </w:r>
    </w:p>
    <w:p>
      <w:r>
        <w:t>FRS6600    Anti-Avoidance Rules: What is the treatment of capital assets on leaving the flat rate scheme?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