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FRS6100 - Anti-Avoidance Rules: What Are The Anti-Avoidance Exclusions?</w:t>
      </w:r>
    </w:p>
    <w:p>
      <w:r>
        <w:t>The FRS is intended for small stand-alone businesses and the anti-avoidance exclusions mean:</w:t>
      </w:r>
    </w:p>
    <w:p>
      <w:r>
        <w:t>Businesses that are eligible for group treatment, or are registered for VAT as a divisional registration, at the time of application - or have been in the preceding 24 months - are excluded.</w:t>
      </w:r>
    </w:p>
    <w:p>
      <w:r>
        <w:t>This is designed to reduce the threat of exploitation by larger companies.</w:t>
      </w:r>
    </w:p>
    <w:p>
      <w:r>
        <w:t>Businesses that acquire or intend to acquire capital items that are covered by the capital goods scheme are excluded.</w:t>
      </w:r>
    </w:p>
    <w:p>
      <w:r>
        <w:t>Analysis showed that the treatment of FRS businesses as fully taxable presented the potential for abuse by exempt companies and this exclusion is to prevent such avoidance schemes from developing.</w:t>
      </w:r>
    </w:p>
    <w:p>
      <w:r>
        <w:t>Businesses that are associated - or have been in the preceding 24 months - are excluded.</w:t>
      </w:r>
    </w:p>
    <w:p>
      <w:r>
        <w:t>This is a catch-all provision to prevent avoidance and abuse. Further details can be found at FRS6200.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