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FRS6200 - Anti-Avoidance Rules: What Is The Definition Of An Associated Business?</w:t>
      </w:r>
    </w:p>
    <w:p>
      <w:r>
        <w:t>Regulation 55A(2) of VAT Regulations 1995 excludes any business that is associated with another person, whether or not that person is a corporate body or a natural person and irrespective of the taxable status of the person.</w:t>
      </w:r>
    </w:p>
    <w:p>
      <w:r>
        <w:t>The regulation defines association as any case where:</w:t>
      </w:r>
    </w:p>
    <w:p>
      <w:r>
        <w:t>the business of one is under the dominant influence of the other or</w:t>
      </w:r>
    </w:p>
    <w:p>
      <w:r>
        <w:t>the persons are closely bound to one another by financial, economic and organisational links.</w:t>
      </w:r>
    </w:p>
    <w:p>
      <w:r>
        <w:t>FRS6300 explains how ‘dominant influence’ and ‘organisational links’ are to be interpreted.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