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HMAG31670 - Revocation Of Approval: Detail Required In A Letter Notifying A Period Of Notice</w:t>
      </w:r>
    </w:p>
    <w:p>
      <w:r>
        <w:t>All letters notifying a period of notice/decision to revoke an approval must be on appropriate letter headed paper and include:</w:t>
      </w:r>
    </w:p>
    <w:p>
      <w:r>
        <w:t>length of any period of notice given</w:t>
      </w:r>
    </w:p>
    <w:p>
      <w:r>
        <w:t>date on which the authorisation/approval expires</w:t>
      </w:r>
    </w:p>
    <w:p>
      <w:r>
        <w:t>reasons for revocation, clearly explained with detail of any</w:t>
      </w:r>
    </w:p>
    <w:p>
      <w:r>
        <w:t xml:space="preserve"> irregularities identified and when these were originally notified to the business</w:t>
      </w:r>
    </w:p>
    <w:p>
      <w:r>
        <w:t>assessments/penalties which influenced your revocation decision</w:t>
      </w:r>
    </w:p>
    <w:p>
      <w:r>
        <w:t>evidence that enquiries were made to establish the circumstances and underlying facts in seizures, previous refusals / revocations, connected person concerns and how the business was directly involved</w:t>
      </w:r>
    </w:p>
    <w:p>
      <w:r>
        <w:t>analysis of any mitigation raised by the business in their response to the ‘minded to revoke’ letter</w:t>
      </w:r>
    </w:p>
    <w:p>
      <w:r>
        <w:t>what effect revocation will have on the business, for example:</w:t>
      </w:r>
    </w:p>
    <w:p>
      <w:r>
        <w:t>a warehousekeeper can no longer occupy the warehouse</w:t>
      </w:r>
    </w:p>
    <w:p>
      <w:r>
        <w:t>a registered owner can no longer hold or buy relevant warehouse goods held under duty suspension arrangements</w:t>
      </w:r>
    </w:p>
    <w:p>
      <w:r>
        <w:t>a registered consignee can no longer import duty suspended goods from the EU</w:t>
      </w:r>
    </w:p>
    <w:p>
      <w:r>
        <w:t>impact on other regimes the business is still approved to operate</w:t>
      </w:r>
    </w:p>
    <w:p>
      <w:r>
        <w:t>any new conditions of approval during the period of notice</w:t>
      </w:r>
    </w:p>
    <w:p>
      <w:r>
        <w:t>what the business must do in the period of notice to prevent goods they either own or are responsible for becoming liable to forfeiture</w:t>
      </w:r>
    </w:p>
    <w:p>
      <w:r>
        <w:t>right of appeal and how to do so</w:t>
      </w:r>
    </w:p>
    <w:p>
      <w:r>
        <w:t>your signature as the decision maker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