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INTM286110 - Anti-Diversion Rule: Proportionate Reduction Where Tainted Relevant Transactions Arise</w:t>
      </w:r>
    </w:p>
    <w:p>
      <w:r>
        <w:t>This applies for relevant periods beginning before 1 January 2013.</w:t>
      </w:r>
    </w:p>
    <w:p>
      <w:r>
        <w:t>CTA09/S18I</w:t>
      </w:r>
    </w:p>
    <w:p>
      <w:r>
        <w:t>Where condition B of the motive test in CTA09/S18H is met, but the transaction leg (condition A) of the motive test is not met and ”tainted” relevant transactions arise, CTA09/S18I reduces the relevant profits on a just and reasonable basis with regard to those tainted relevant transactions. As described at INTM286090, Condition B can be assumed to be met where there has been no significant change to the business over the relevant period and the business was previously carried on by a taxable permanent establishment or a foreign subsidiary that was not within the scope of the CFC legislation.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