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076EF" w14:textId="77777777" w:rsidR="00A07ADE" w:rsidRDefault="006F6D58">
      <w:pPr>
        <w:pStyle w:val="Title"/>
      </w:pPr>
      <w:bookmarkStart w:id="0" w:name="_GoBack"/>
      <w:bookmarkEnd w:id="0"/>
      <w:r>
        <w:t>HMRC - OT11050 - PRT: Long-Term Assets - Basic Conditions For Relief</w:t>
      </w:r>
    </w:p>
    <w:p w14:paraId="1EDF678C" w14:textId="77777777" w:rsidR="00A07ADE" w:rsidRDefault="006F6D58">
      <w:r>
        <w:t>OTA83\S3</w:t>
      </w:r>
    </w:p>
    <w:p w14:paraId="7B942C97" w14:textId="77777777" w:rsidR="00A07ADE" w:rsidRDefault="006F6D58">
      <w:r>
        <w:t>OTA83\S3 provides full front-end relief for long-term asset (see OT11025) expenditure in a field.</w:t>
      </w:r>
    </w:p>
    <w:p w14:paraId="7E7F88AC" w14:textId="77777777" w:rsidR="00A07ADE" w:rsidRDefault="006F6D58">
      <w:r>
        <w:t>The conditions for relief are that</w:t>
      </w:r>
    </w:p>
    <w:p w14:paraId="7DAB3D5F" w14:textId="77777777" w:rsidR="00A07ADE" w:rsidRDefault="006F6D58">
      <w:r>
        <w:t xml:space="preserve">the expenditure is incurred on the </w:t>
      </w:r>
      <w:r>
        <w:t>acquisition, creation or enhancement of an asset (or an interest in the asset) for an OTA75\S3(1) purpose (see OT09025),</w:t>
      </w:r>
    </w:p>
    <w:p w14:paraId="2D5E4E56" w14:textId="77777777" w:rsidR="00A07ADE" w:rsidRDefault="006F6D58">
      <w:r>
        <w:t>at the end of the ‘relevant claim period’ the asset is used, or is expected to be used, in connection with the field,</w:t>
      </w:r>
    </w:p>
    <w:p w14:paraId="15F01794" w14:textId="77777777" w:rsidR="00A07ADE" w:rsidRDefault="006F6D58">
      <w:r>
        <w:t>at that point the</w:t>
      </w:r>
      <w:r>
        <w:t xml:space="preserve"> asset is, or is expected to be, a long-term asset,</w:t>
      </w:r>
    </w:p>
    <w:p w14:paraId="36C5568B" w14:textId="77777777" w:rsidR="00A07ADE" w:rsidRDefault="006F6D58">
      <w:r>
        <w:t>and the expenditure does not relate to a non-dedicated mobile asset (in which case different rules apply, see OT11100).</w:t>
      </w:r>
    </w:p>
    <w:p w14:paraId="4B95DACD" w14:textId="77777777" w:rsidR="00A07ADE" w:rsidRDefault="006F6D58">
      <w:r>
        <w:t>Relevant Claim Period</w:t>
      </w:r>
    </w:p>
    <w:p w14:paraId="4EF7CF2D" w14:textId="77777777" w:rsidR="00A07ADE" w:rsidRDefault="006F6D58">
      <w:r>
        <w:t>The relevant claim period for long-term assets is the claim pe</w:t>
      </w:r>
      <w:r>
        <w:t>riod in which the expenditure is incurred unless either</w:t>
      </w:r>
    </w:p>
    <w:p w14:paraId="13D3CFFC" w14:textId="77777777" w:rsidR="00A07ADE" w:rsidRDefault="006F6D58">
      <w:r>
        <w:t>the asset is a ‘brought-in asset’ (see OT11500), in which case the relevant claim period is the claim period of first use (discounting in the case of a mobile asset any claim period in which it was no</w:t>
      </w:r>
      <w:r>
        <w:t>t dedicated to that field), OTA75\S3(5)(b), or</w:t>
      </w:r>
    </w:p>
    <w:p w14:paraId="3FDEB9D5" w14:textId="77777777" w:rsidR="00A07ADE" w:rsidRDefault="006F6D58">
      <w:r>
        <w:t>the asset has previously been a non-dedicated mobile asset, in which case the relevant claim period is the period in which the asset becomes dedicated, OTA75\S3(5)(c).</w:t>
      </w:r>
    </w:p>
    <w:p w14:paraId="5E8BFE90" w14:textId="77777777" w:rsidR="00A07ADE" w:rsidRDefault="006F6D58">
      <w:r>
        <w:t>Application to OTA75\S3</w:t>
      </w:r>
    </w:p>
    <w:p w14:paraId="3BB1C084" w14:textId="77777777" w:rsidR="00A07ADE" w:rsidRDefault="006F6D58">
      <w:r>
        <w:t>As well as the li</w:t>
      </w:r>
      <w:r>
        <w:t>nk to a OTA75\S3(1) purpose, which is established by OTA75\S12(2), OTA83\S3(6) provides that the following provisions apply to the allowance of long-term asset expenditure under OTA83\S3:</w:t>
      </w:r>
    </w:p>
    <w:p w14:paraId="2D335881" w14:textId="77777777" w:rsidR="00A07ADE" w:rsidRDefault="006F6D58">
      <w:r>
        <w:t>OTA75\S3(3), prevention of double allowance, see OT09425</w:t>
      </w:r>
    </w:p>
    <w:p w14:paraId="25D70A75" w14:textId="77777777" w:rsidR="00A07ADE" w:rsidRDefault="006F6D58">
      <w:r>
        <w:t>OTA75\S3(4)</w:t>
      </w:r>
      <w:r>
        <w:t>, disallowable expenditure, see OT09450</w:t>
      </w:r>
    </w:p>
    <w:p w14:paraId="45B8E9D1" w14:textId="77777777" w:rsidR="00A07ADE" w:rsidRDefault="006F6D58">
      <w:r>
        <w:t>OTA75\S3(5), allowance of supplement, see OT12050</w:t>
      </w:r>
    </w:p>
    <w:p w14:paraId="61EEE36C" w14:textId="77777777" w:rsidR="00A07ADE" w:rsidRDefault="006F6D58">
      <w:r>
        <w:t>OTA75\S3(5A), apportionment of supplement, see OT12500.</w:t>
      </w:r>
    </w:p>
    <w:p w14:paraId="249780AD" w14:textId="77777777" w:rsidR="00A07ADE" w:rsidRDefault="006F6D58">
      <w:r>
        <w:lastRenderedPageBreak/>
        <w:t xml:space="preserve">The expenditure apportionment rules in OTA75\S3(6) (see OT09375) and OTA75\S3(7) (see OT09400) do not however </w:t>
      </w:r>
      <w:r>
        <w:t>apply as they relate to operating expenditure. Apportionment of long-term asset expenditure is considered at OT11400.</w:t>
      </w:r>
    </w:p>
    <w:p w14:paraId="6330298A" w14:textId="77777777" w:rsidR="00A07ADE" w:rsidRDefault="006F6D58">
      <w:r>
        <w:t xml:space="preserve"> Previous page</w:t>
      </w:r>
    </w:p>
    <w:p w14:paraId="49B671EB" w14:textId="77777777" w:rsidR="00A07ADE" w:rsidRDefault="006F6D58">
      <w:r>
        <w:t xml:space="preserve"> Next page</w:t>
      </w:r>
    </w:p>
    <w:sectPr w:rsidR="00A07A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8AF"/>
    <w:rsid w:val="006F6D58"/>
    <w:rsid w:val="00914CE1"/>
    <w:rsid w:val="00986D8F"/>
    <w:rsid w:val="00A07A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9070D8F-868B-4D33-AC4F-E6B355AF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F6D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777831-F2E5-484A-9BF8-13F6C21AA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2019-10-24T23:49:00Z</dcterms:modified>
  <cp:category/>
</cp:coreProperties>
</file>