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9F95E" w14:textId="77777777" w:rsidR="007025D5" w:rsidRDefault="007423EC">
      <w:pPr>
        <w:pStyle w:val="Title"/>
      </w:pPr>
      <w:bookmarkStart w:id="0" w:name="_GoBack"/>
      <w:bookmarkEnd w:id="0"/>
      <w:r>
        <w:t>HMRC - OT14680 - Transactions - Hiring Of Assets</w:t>
      </w:r>
    </w:p>
    <w:p w14:paraId="15A060CB" w14:textId="77777777" w:rsidR="007025D5" w:rsidRDefault="007423EC">
      <w:r>
        <w:t xml:space="preserve">OTA75\Sch4\Para 2(4)(a) The words “with any necessary modification” in OTA75\Sch4\Para2(4)(a) apply the provisions of OTA75\Sch4\Para2(1) (which deals with the acquisition etc of an asset) to </w:t>
      </w:r>
      <w:r>
        <w:t>acquiring an interest in an asset and to renting, hiring and the provision of services etc.</w:t>
      </w:r>
    </w:p>
    <w:p w14:paraId="44AE16D3" w14:textId="77777777" w:rsidR="007025D5" w:rsidRDefault="007423EC">
      <w:r>
        <w:t xml:space="preserve">Where the claimant hires an asset from an affiliate, who in turn hires from a third party, the measurement of allowable expenditure will be arrived at by reference </w:t>
      </w:r>
      <w:r>
        <w:t>to the hire payments made at arm’s length to the third party with an addition possibly for maintenance costs. If the asset is a property any lease premium might be taken into account in the calculation over the period of the lease.</w:t>
      </w:r>
    </w:p>
    <w:p w14:paraId="65AE76A4" w14:textId="77777777" w:rsidR="007025D5" w:rsidRDefault="007423EC">
      <w:r>
        <w:t xml:space="preserve">If the claimant company </w:t>
      </w:r>
      <w:r>
        <w:t>hires an asset owned by an affiliate then the words “with any necessary modification” in OTA75\Sch4\Para2(4) allow for a comparison with the annual cost to the affiliate of providing the asset on hire, based on capital cost spread over the expected life of</w:t>
      </w:r>
      <w:r>
        <w:t xml:space="preserve"> the asset in question.</w:t>
      </w:r>
    </w:p>
    <w:p w14:paraId="710A512F" w14:textId="77777777" w:rsidR="007025D5" w:rsidRDefault="007423EC">
      <w:r>
        <w:t>But, if the asset is a property and an affiliate owns the property, then an approach based on a comparison of the rent charged with an open market or rack rent may be the best practical solution. LB Oil &amp; Gas seeks to ensure that th</w:t>
      </w:r>
      <w:r>
        <w:t>e total recovery by way of rental by the owning affiliate does not over a period of years exceed the capital cost of acquisition plus annual maintenance costs.</w:t>
      </w:r>
    </w:p>
    <w:p w14:paraId="33D96F96" w14:textId="77777777" w:rsidR="007025D5" w:rsidRDefault="007423EC">
      <w:r>
        <w:t xml:space="preserve"> Previous page</w:t>
      </w:r>
    </w:p>
    <w:p w14:paraId="379A9C8B" w14:textId="77777777" w:rsidR="007025D5" w:rsidRDefault="007423EC">
      <w:r>
        <w:t xml:space="preserve"> Next page</w:t>
      </w:r>
    </w:p>
    <w:sectPr w:rsidR="00702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D03"/>
    <w:rsid w:val="007025D5"/>
    <w:rsid w:val="007044C4"/>
    <w:rsid w:val="007423EC"/>
    <w:rsid w:val="00A502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DB1117C-B1EC-444C-A2AB-BAD8DCDB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423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E26F57-3903-4F13-ABE6-81297922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2019-10-24T23:56:00Z</dcterms:modified>
  <cp:category/>
</cp:coreProperties>
</file>