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OT18160 - PRT: Transfer Of Licence Interests - Long-Term Asset Disposals</w:t>
      </w:r>
    </w:p>
    <w:p>
      <w:r>
        <w:t>FA80\SchCH17\Para19</w:t>
      </w:r>
    </w:p>
    <w:p>
      <w:r>
        <w:t>This paragraph prevents</w:t>
      </w:r>
    </w:p>
    <w:p>
      <w:r>
        <w:t>a charge on a disposal receipt, OT15060,</w:t>
      </w:r>
    </w:p>
    <w:p>
      <w:r>
        <w:t>or an expenditure claw back in the case of a non-dedicated mobile asset, see OT11100.</w:t>
      </w:r>
    </w:p>
    <w:p>
      <w:r>
        <w:t>Where the disposal by the old participator (OP) of an asset to the new participator (NP) is a consequence of the transfer by OP to NP of an interest in the field. Disposals and acquisitions by ‘connected parties’ of OP and NP respectively are equally covered - the definition of ‘connected’ follows that in ICTA88\S839.</w:t>
      </w:r>
    </w:p>
    <w:p>
      <w:r>
        <w:t>Likewise NP cannot have a deduction for the expenditure it incurs either on acquiring a field interest (OTA75\S3(4)(e), see OT09550) or on acquiring field assets on transfer. OA75\SCH4\PARA1 prevents a deduction for the cost of acquiring a field asset where someone else’s prior expenditure on the same asset is allowable for the field. (OTA83\S5(4) disapplies paragraph 1 generally, but retains it when expenditure on an asset does not constitute a tariff or disposal receipt in the hands of the seller.)</w:t>
      </w:r>
    </w:p>
    <w:p>
      <w:r>
        <w:t>Anti-Avoidance</w:t>
      </w:r>
    </w:p>
    <w:p>
      <w:r>
        <w:t>FA99\S98 ensures that a PRT charge remains on tariffs and disposal receipts in relation to the field where a disposal is effected by separating infrastructure from the field, (see OT15150).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