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OT18190 - PRT: Transfer Of Licence Interests - Net Profit Period</w:t>
      </w:r>
    </w:p>
    <w:p>
      <w:r>
        <w:t>Net Profit Period, FA81\S112</w:t>
      </w:r>
    </w:p>
    <w:p>
      <w:r>
        <w:t>In determining the new participator’s net profit period (FA81\S111, see OT12650) following a transfer of a field interest, one must take the earlier of</w:t>
      </w:r>
    </w:p>
    <w:p>
      <w:r>
        <w:t>its own net profit period (on the assumption that all (or an appropriate part in the case of a part-transfer) of the old participator’s (OP) assessable profits and allowable losses had been its own) and</w:t>
      </w:r>
    </w:p>
    <w:p>
      <w:r>
        <w:t>OP’s net profit period or, if there are several OPs, the earliest of their net profit periods.</w:t>
      </w:r>
    </w:p>
    <w:p>
      <w:r>
        <w:t>On a part transfer, OP’s net profit period is recalculated, following the transfer to NP of part of its assessable profits and allowable losses.</w:t>
      </w:r>
    </w:p>
    <w:p>
      <w:r>
        <w:t>If NP were already a participator and had reached its net profit period in relation to its original interest in a chargeable period before it acquired OP’s interest, then the timing of OP’s net profit period is ignored (FA81\S112(5)).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