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1F1F" w14:textId="77777777" w:rsidR="00F7434F" w:rsidRDefault="00400CB9">
      <w:pPr>
        <w:pStyle w:val="Title"/>
      </w:pPr>
      <w:bookmarkStart w:id="0" w:name="_GoBack"/>
      <w:bookmarkEnd w:id="0"/>
      <w:r>
        <w:t>HMRC - OT18500 - PRT</w:t>
      </w:r>
      <w:ins w:id="1" w:author="Comparison" w:date="2019-10-24T23:13:00Z">
        <w:r>
          <w:t>:</w:t>
        </w:r>
      </w:ins>
      <w:r>
        <w:t xml:space="preserve"> Compliance: Contents</w:t>
      </w:r>
    </w:p>
    <w:p w14:paraId="0AEFDB5B" w14:textId="1E4A824E" w:rsidR="00F7434F" w:rsidRDefault="00400CB9">
      <w:r>
        <w:t xml:space="preserve">OT18510    </w:t>
      </w:r>
      <w:del w:id="2" w:author="Comparison" w:date="2019-10-24T23:13:00Z">
        <w:r>
          <w:delText>PRT compliance: risk factors</w:delText>
        </w:r>
      </w:del>
      <w:ins w:id="3" w:author="Comparison" w:date="2019-10-24T23:13:00Z">
        <w:r>
          <w:t>Risk Factors</w:t>
        </w:r>
      </w:ins>
      <w:r>
        <w:t xml:space="preserve"> and </w:t>
      </w:r>
      <w:del w:id="4" w:author="Comparison" w:date="2019-10-24T23:13:00Z">
        <w:r>
          <w:delText>distinctive features</w:delText>
        </w:r>
      </w:del>
      <w:ins w:id="5" w:author="Comparison" w:date="2019-10-24T23:13:00Z">
        <w:r>
          <w:t>Distinctive Features</w:t>
        </w:r>
      </w:ins>
      <w:r>
        <w:t xml:space="preserve"> of the </w:t>
      </w:r>
      <w:del w:id="6" w:author="Comparison" w:date="2019-10-24T23:13:00Z">
        <w:r>
          <w:delText>tax</w:delText>
        </w:r>
      </w:del>
      <w:ins w:id="7" w:author="Comparison" w:date="2019-10-24T23:13:00Z">
        <w:r>
          <w:t>Tax</w:t>
        </w:r>
      </w:ins>
    </w:p>
    <w:p w14:paraId="2EBEE589" w14:textId="68F5201C" w:rsidR="00F7434F" w:rsidRDefault="00400CB9">
      <w:r>
        <w:t xml:space="preserve">OT18520    </w:t>
      </w:r>
      <w:del w:id="8" w:author="Comparison" w:date="2019-10-24T23:13:00Z">
        <w:r>
          <w:delText>PRT compliance: changes</w:delText>
        </w:r>
      </w:del>
      <w:ins w:id="9" w:author="Comparison" w:date="2019-10-24T23:13:00Z">
        <w:r>
          <w:t>Changes</w:t>
        </w:r>
      </w:ins>
      <w:r>
        <w:t xml:space="preserve"> in </w:t>
      </w:r>
      <w:del w:id="10" w:author="Comparison" w:date="2019-10-24T23:13:00Z">
        <w:r>
          <w:delText>approach</w:delText>
        </w:r>
      </w:del>
      <w:ins w:id="11" w:author="Comparison" w:date="2019-10-24T23:13:00Z">
        <w:r>
          <w:t>Approach</w:t>
        </w:r>
      </w:ins>
      <w:r>
        <w:t xml:space="preserve"> to the </w:t>
      </w:r>
      <w:del w:id="12" w:author="Comparison" w:date="2019-10-24T23:13:00Z">
        <w:r>
          <w:delText>management</w:delText>
        </w:r>
      </w:del>
      <w:ins w:id="13" w:author="Comparison" w:date="2019-10-24T23:13:00Z">
        <w:r>
          <w:t>Management</w:t>
        </w:r>
      </w:ins>
      <w:r>
        <w:t xml:space="preserve"> of </w:t>
      </w:r>
      <w:del w:id="14" w:author="Comparison" w:date="2019-10-24T23:13:00Z">
        <w:r>
          <w:delText>risk</w:delText>
        </w:r>
      </w:del>
      <w:ins w:id="15" w:author="Comparison" w:date="2019-10-24T23:13:00Z">
        <w:r>
          <w:t>Risk</w:t>
        </w:r>
      </w:ins>
    </w:p>
    <w:p w14:paraId="6C788A70" w14:textId="1EDDB1DC" w:rsidR="00F7434F" w:rsidRDefault="00400CB9">
      <w:r>
        <w:t xml:space="preserve">OT18530    </w:t>
      </w:r>
      <w:del w:id="16" w:author="Comparison" w:date="2019-10-24T23:13:00Z">
        <w:r>
          <w:delText>PRT compliance: LB operating model - the role</w:delText>
        </w:r>
      </w:del>
      <w:ins w:id="17" w:author="Comparison" w:date="2019-10-24T23:13:00Z">
        <w:r>
          <w:t>LBS Operating Model: -The Role</w:t>
        </w:r>
      </w:ins>
      <w:r>
        <w:t xml:space="preserve"> of the CRM in PRT</w:t>
      </w:r>
    </w:p>
    <w:p w14:paraId="6763EA70" w14:textId="39FCF6AD" w:rsidR="00F7434F" w:rsidRDefault="00400CB9">
      <w:r>
        <w:t xml:space="preserve">OT18540    </w:t>
      </w:r>
      <w:del w:id="18" w:author="Comparison" w:date="2019-10-24T23:13:00Z">
        <w:r>
          <w:delText>PRT compliance: Tax compliance risk management process guidance</w:delText>
        </w:r>
      </w:del>
      <w:ins w:id="19" w:author="Comparison" w:date="2019-10-24T23:13:00Z">
        <w:r>
          <w:t xml:space="preserve">Tax Compliance Risk </w:t>
        </w:r>
        <w:r>
          <w:t>Management Process Guidance</w:t>
        </w:r>
      </w:ins>
    </w:p>
    <w:p w14:paraId="7F25BF59" w14:textId="389015B4" w:rsidR="00F7434F" w:rsidRDefault="00400CB9">
      <w:r>
        <w:t xml:space="preserve">OT18550    </w:t>
      </w:r>
      <w:del w:id="20" w:author="Comparison" w:date="2019-10-24T23:13:00Z">
        <w:r>
          <w:delText>PRT compliance: the</w:delText>
        </w:r>
      </w:del>
      <w:ins w:id="21" w:author="Comparison" w:date="2019-10-24T23:13:00Z">
        <w:r>
          <w:t>The</w:t>
        </w:r>
      </w:ins>
      <w:r>
        <w:t xml:space="preserve"> new approach to governance and delivery</w:t>
      </w:r>
    </w:p>
    <w:p w14:paraId="662AB26A" w14:textId="526490EE" w:rsidR="00F7434F" w:rsidRDefault="00400CB9">
      <w:r>
        <w:t xml:space="preserve">OT18560    </w:t>
      </w:r>
      <w:del w:id="22" w:author="Comparison" w:date="2019-10-24T23:13:00Z">
        <w:r>
          <w:delText>PRT compliance: the relationship</w:delText>
        </w:r>
      </w:del>
      <w:ins w:id="23" w:author="Comparison" w:date="2019-10-24T23:13:00Z">
        <w:r>
          <w:t>The Relationship</w:t>
        </w:r>
      </w:ins>
      <w:r>
        <w:t xml:space="preserve"> with </w:t>
      </w:r>
      <w:del w:id="24" w:author="Comparison" w:date="2019-10-24T23:13:00Z">
        <w:r>
          <w:delText>low risk customers</w:delText>
        </w:r>
      </w:del>
      <w:ins w:id="25" w:author="Comparison" w:date="2019-10-24T23:13:00Z">
        <w:r>
          <w:t>Low Risk Customers</w:t>
        </w:r>
      </w:ins>
    </w:p>
    <w:p w14:paraId="0F0B7ABB" w14:textId="76F25E69" w:rsidR="00F7434F" w:rsidRDefault="00400CB9">
      <w:r>
        <w:t xml:space="preserve">OT18570    </w:t>
      </w:r>
      <w:del w:id="26" w:author="Comparison" w:date="2019-10-24T23:13:00Z">
        <w:r>
          <w:delText xml:space="preserve">PRT compliance: </w:delText>
        </w:r>
        <w:r>
          <w:delText>responding</w:delText>
        </w:r>
      </w:del>
      <w:ins w:id="27" w:author="Comparison" w:date="2019-10-24T23:13:00Z">
        <w:r>
          <w:t>Responding</w:t>
        </w:r>
      </w:ins>
      <w:r>
        <w:t xml:space="preserve"> to </w:t>
      </w:r>
      <w:del w:id="28" w:author="Comparison" w:date="2019-10-24T23:13:00Z">
        <w:r>
          <w:delText xml:space="preserve">specific returns, claims </w:delText>
        </w:r>
      </w:del>
      <w:ins w:id="29" w:author="Comparison" w:date="2019-10-24T23:13:00Z">
        <w:r>
          <w:t xml:space="preserve">Specific Returns, Claims </w:t>
        </w:r>
      </w:ins>
      <w:r>
        <w:t xml:space="preserve">and </w:t>
      </w:r>
      <w:del w:id="30" w:author="Comparison" w:date="2019-10-24T23:13:00Z">
        <w:r>
          <w:delText>notification</w:delText>
        </w:r>
      </w:del>
      <w:ins w:id="31" w:author="Comparison" w:date="2019-10-24T23:13:00Z">
        <w:r>
          <w:t>Notification</w:t>
        </w:r>
      </w:ins>
      <w:r>
        <w:t xml:space="preserve"> from a </w:t>
      </w:r>
      <w:del w:id="32" w:author="Comparison" w:date="2019-10-24T23:13:00Z">
        <w:r>
          <w:delText>low risk customer</w:delText>
        </w:r>
      </w:del>
      <w:ins w:id="33" w:author="Comparison" w:date="2019-10-24T23:13:00Z">
        <w:r>
          <w:t>Low Risk Customer</w:t>
        </w:r>
      </w:ins>
    </w:p>
    <w:p w14:paraId="467012D4" w14:textId="4B1CD11D" w:rsidR="00F7434F" w:rsidRDefault="00400CB9">
      <w:r>
        <w:t xml:space="preserve">OT18580    </w:t>
      </w:r>
      <w:del w:id="34" w:author="Comparison" w:date="2019-10-24T23:13:00Z">
        <w:r>
          <w:delText xml:space="preserve">PRT Compliance: </w:delText>
        </w:r>
      </w:del>
      <w:r>
        <w:t>Joint Venture Clai</w:t>
      </w:r>
      <w:r>
        <w:t>ms - Confidentiality</w:t>
      </w:r>
    </w:p>
    <w:p w14:paraId="548F2003" w14:textId="2B8F1FD3" w:rsidR="00F7434F" w:rsidRDefault="00400CB9">
      <w:r>
        <w:t xml:space="preserve">OT18590    PRT </w:t>
      </w:r>
      <w:del w:id="35" w:author="Comparison" w:date="2019-10-24T23:13:00Z">
        <w:r>
          <w:delText>compliance: clear errors</w:delText>
        </w:r>
      </w:del>
      <w:ins w:id="36" w:author="Comparison" w:date="2019-10-24T23:13:00Z">
        <w:r>
          <w:t>Compliance: Clear Errors</w:t>
        </w:r>
      </w:ins>
    </w:p>
    <w:p w14:paraId="11CBFA7E" w14:textId="2CC4B6C6" w:rsidR="00F7434F" w:rsidRDefault="00400CB9">
      <w:r>
        <w:t xml:space="preserve">OT18600    </w:t>
      </w:r>
      <w:del w:id="37" w:author="Comparison" w:date="2019-10-24T23:13:00Z">
        <w:r>
          <w:delText>PRT compliance: risk assessment - evaluating</w:delText>
        </w:r>
      </w:del>
      <w:ins w:id="38" w:author="Comparison" w:date="2019-10-24T23:13:00Z">
        <w:r>
          <w:t>Risk Assessment – Evaluating</w:t>
        </w:r>
      </w:ins>
      <w:r>
        <w:t xml:space="preserve"> potential sources of risk against all available information</w:t>
      </w:r>
    </w:p>
    <w:p w14:paraId="595580B9" w14:textId="11A48A99" w:rsidR="00F7434F" w:rsidRDefault="00400CB9">
      <w:r>
        <w:t xml:space="preserve">OT18610    </w:t>
      </w:r>
      <w:del w:id="39" w:author="Comparison" w:date="2019-10-24T23:13:00Z">
        <w:r>
          <w:delText>PRT compliance: risk assessment - the process</w:delText>
        </w:r>
      </w:del>
      <w:ins w:id="40" w:author="Comparison" w:date="2019-10-24T23:13:00Z">
        <w:r>
          <w:t>Risk Assessment – The Process</w:t>
        </w:r>
      </w:ins>
    </w:p>
    <w:p w14:paraId="403827F4" w14:textId="0991984A" w:rsidR="00F7434F" w:rsidRDefault="00400CB9">
      <w:r>
        <w:t xml:space="preserve">OT18620    </w:t>
      </w:r>
      <w:del w:id="41" w:author="Comparison" w:date="2019-10-24T23:13:00Z">
        <w:r>
          <w:delText>PRT compliance: risk assessment - mandatory work, projects</w:delText>
        </w:r>
      </w:del>
      <w:ins w:id="42" w:author="Comparison" w:date="2019-10-24T23:13:00Z">
        <w:r>
          <w:t>Risk Assessment – Mandatory Work, Projects</w:t>
        </w:r>
      </w:ins>
      <w:r>
        <w:t xml:space="preserve"> </w:t>
      </w:r>
      <w:r>
        <w:t xml:space="preserve">and </w:t>
      </w:r>
      <w:del w:id="43" w:author="Comparison" w:date="2019-10-24T23:13:00Z">
        <w:r>
          <w:delText>campaigns</w:delText>
        </w:r>
      </w:del>
      <w:ins w:id="44" w:author="Comparison" w:date="2019-10-24T23:13:00Z">
        <w:r>
          <w:t>Campaigns</w:t>
        </w:r>
      </w:ins>
    </w:p>
    <w:p w14:paraId="456180F3" w14:textId="318C1265" w:rsidR="00F7434F" w:rsidRDefault="00400CB9">
      <w:r>
        <w:t xml:space="preserve">OT18630    </w:t>
      </w:r>
      <w:del w:id="45" w:author="Comparison" w:date="2019-10-24T23:13:00Z">
        <w:r>
          <w:delText>PRT Compliance: risk assessment - regime integrity work</w:delText>
        </w:r>
      </w:del>
      <w:ins w:id="46" w:author="Comparison" w:date="2019-10-24T23:13:00Z">
        <w:r>
          <w:t>Risk Assessment – Regime Integrity Work</w:t>
        </w:r>
      </w:ins>
    </w:p>
    <w:p w14:paraId="489CC4CA" w14:textId="65AA796A" w:rsidR="00F7434F" w:rsidRDefault="00400CB9">
      <w:r>
        <w:t xml:space="preserve">OT18640    </w:t>
      </w:r>
      <w:del w:id="47" w:author="Comparison" w:date="2019-10-24T23:13:00Z">
        <w:r>
          <w:delText>PRT compliance: risk assessment - the risk review process</w:delText>
        </w:r>
      </w:del>
      <w:ins w:id="48" w:author="Comparison" w:date="2019-10-24T23:13:00Z">
        <w:r>
          <w:t>Risk Assessment – The Risk Review Process</w:t>
        </w:r>
      </w:ins>
    </w:p>
    <w:p w14:paraId="41366368" w14:textId="336032CA" w:rsidR="00F7434F" w:rsidRDefault="00400CB9">
      <w:r>
        <w:t xml:space="preserve">OT18650    </w:t>
      </w:r>
      <w:del w:id="49" w:author="Comparison" w:date="2019-10-24T23:13:00Z">
        <w:r>
          <w:delText>PRT compliance: risk assessment - first claims</w:delText>
        </w:r>
      </w:del>
      <w:ins w:id="50" w:author="Comparison" w:date="2019-10-24T23:13:00Z">
        <w:r>
          <w:t>Risk Assessment – First Claims</w:t>
        </w:r>
      </w:ins>
      <w:r>
        <w:t xml:space="preserve"> and </w:t>
      </w:r>
      <w:del w:id="51" w:author="Comparison" w:date="2019-10-24T23:13:00Z">
        <w:r>
          <w:delText>continuing audits</w:delText>
        </w:r>
      </w:del>
      <w:ins w:id="52" w:author="Comparison" w:date="2019-10-24T23:13:00Z">
        <w:r>
          <w:t>Continuing Audits</w:t>
        </w:r>
      </w:ins>
    </w:p>
    <w:p w14:paraId="5E906771" w14:textId="0C8948C7" w:rsidR="00F7434F" w:rsidRDefault="00400CB9">
      <w:r>
        <w:t xml:space="preserve">OT18660    </w:t>
      </w:r>
      <w:del w:id="53" w:author="Comparison" w:date="2019-10-24T23:13:00Z">
        <w:r>
          <w:delText>PRT compliance: risk working - PRT / accounts reconciliations</w:delText>
        </w:r>
      </w:del>
      <w:ins w:id="54" w:author="Comparison" w:date="2019-10-24T23:13:00Z">
        <w:r>
          <w:t>Risk Working - PRT / Accounts Reconciliations</w:t>
        </w:r>
      </w:ins>
    </w:p>
    <w:p w14:paraId="64DD5202" w14:textId="318EA449" w:rsidR="00F7434F" w:rsidRDefault="00400CB9">
      <w:r>
        <w:lastRenderedPageBreak/>
        <w:t xml:space="preserve">OT18670    </w:t>
      </w:r>
      <w:del w:id="55" w:author="Comparison" w:date="2019-10-24T23:13:00Z">
        <w:r>
          <w:delText>PRT compliance: risk wor</w:delText>
        </w:r>
        <w:r>
          <w:delText>king - time limits</w:delText>
        </w:r>
      </w:del>
      <w:ins w:id="56" w:author="Comparison" w:date="2019-10-24T23:13:00Z">
        <w:r>
          <w:t>Risk W</w:t>
        </w:r>
        <w:r>
          <w:t>orking - Time Limits</w:t>
        </w:r>
      </w:ins>
      <w:r>
        <w:t xml:space="preserve"> and </w:t>
      </w:r>
      <w:del w:id="57" w:author="Comparison" w:date="2019-10-24T23:13:00Z">
        <w:r>
          <w:delText>expenditure claims</w:delText>
        </w:r>
      </w:del>
      <w:ins w:id="58" w:author="Comparison" w:date="2019-10-24T23:13:00Z">
        <w:r>
          <w:t>Expenditure Claims</w:t>
        </w:r>
      </w:ins>
    </w:p>
    <w:p w14:paraId="19A00F83" w14:textId="77777777" w:rsidR="00F7434F" w:rsidRDefault="00400CB9">
      <w:r>
        <w:t xml:space="preserve"> Previous page</w:t>
      </w:r>
    </w:p>
    <w:p w14:paraId="2C7FE6F0" w14:textId="77777777" w:rsidR="00F7434F" w:rsidRDefault="00400CB9">
      <w:r>
        <w:t xml:space="preserve"> Next page</w:t>
      </w:r>
    </w:p>
    <w:sectPr w:rsidR="00F74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CB9"/>
    <w:rsid w:val="0041355F"/>
    <w:rsid w:val="00A62F65"/>
    <w:rsid w:val="00AA1D8D"/>
    <w:rsid w:val="00B47730"/>
    <w:rsid w:val="00C95518"/>
    <w:rsid w:val="00CB0664"/>
    <w:rsid w:val="00F743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E308AB-92B7-454A-80E5-654850A7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00C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6C522-AAEA-4384-ADCD-74635924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2019-10-24T22:13:00Z</dcterms:modified>
  <cp:category/>
</cp:coreProperties>
</file>