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A47CC" w14:textId="77777777" w:rsidR="00E35A3C" w:rsidRDefault="00A10AFB">
      <w:pPr>
        <w:pStyle w:val="Title"/>
      </w:pPr>
      <w:bookmarkStart w:id="0" w:name="_GoBack"/>
      <w:bookmarkEnd w:id="0"/>
      <w:r>
        <w:t>HMRC - OT20415 - EU Emissions Trading Scheme - Phase III</w:t>
      </w:r>
    </w:p>
    <w:p w14:paraId="3DA12C75" w14:textId="77777777" w:rsidR="00E35A3C" w:rsidRDefault="00A10AFB">
      <w:r>
        <w:t>Phase III does not come into play until January 2013.</w:t>
      </w:r>
    </w:p>
    <w:p w14:paraId="6B336C0D" w14:textId="77777777" w:rsidR="00E35A3C" w:rsidRDefault="00A10AFB">
      <w:r>
        <w:t xml:space="preserve">The largest issue for oil and gas companies operating in the UK and on the UKCS is likely to be that under current plans, for the first time </w:t>
      </w:r>
      <w:r>
        <w:t>companies will have to purchase allowances for emissions from electricity generation on offshore platforms.</w:t>
      </w:r>
    </w:p>
    <w:p w14:paraId="2EC52FFA" w14:textId="77777777" w:rsidR="00E35A3C" w:rsidRDefault="00A10AFB">
      <w:r>
        <w:t xml:space="preserve">Although the structure of Phase III has yet to be finalised, on general principles we would expect such costs to qualify both within the ring fence </w:t>
      </w:r>
      <w:r>
        <w:t>and for PRT purposes.</w:t>
      </w:r>
    </w:p>
    <w:p w14:paraId="5DCE4A08" w14:textId="77777777" w:rsidR="00E35A3C" w:rsidRDefault="00A10AFB">
      <w:r>
        <w:t xml:space="preserve"> Previous page</w:t>
      </w:r>
    </w:p>
    <w:sectPr w:rsidR="00E35A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93CC5"/>
    <w:rsid w:val="00A10AFB"/>
    <w:rsid w:val="00AA1D8D"/>
    <w:rsid w:val="00B47730"/>
    <w:rsid w:val="00BB027E"/>
    <w:rsid w:val="00CB0664"/>
    <w:rsid w:val="00E35A3C"/>
    <w:rsid w:val="00FA61F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6016828-4F6A-4175-AA77-02F7F4E4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A10A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7476E0-0674-40F0-A7E5-439A2B42F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2019-10-25T03:38:00Z</dcterms:modified>
  <cp:category/>
</cp:coreProperties>
</file>