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141D" w14:textId="77777777" w:rsidR="00D31D65" w:rsidRDefault="00B040C9">
      <w:pPr>
        <w:pStyle w:val="Title"/>
      </w:pPr>
      <w:bookmarkStart w:id="0" w:name="_GoBack"/>
      <w:bookmarkEnd w:id="0"/>
      <w:r>
        <w:t>HMRC - OT21020 - Separate Notional Ring Fence And Non-Ring Fence Trades</w:t>
      </w:r>
    </w:p>
    <w:p w14:paraId="565B6477" w14:textId="77777777" w:rsidR="00D31D65" w:rsidRDefault="00B040C9">
      <w:r>
        <w:t xml:space="preserve">The profit or loss from the ring fence activities is calculated on the basis that the notional ring fence trade imposed by legislation constitutes an actual trade. It follows that </w:t>
      </w:r>
      <w:r>
        <w:t>all income arising from the defined activities is brought in and appropriate allowable expenditure incurred wholly and exclusively for the purposes of the ring fence trade is offset.</w:t>
      </w:r>
    </w:p>
    <w:p w14:paraId="0B2A1176" w14:textId="77777777" w:rsidR="00D31D65" w:rsidRDefault="00B040C9">
      <w:r>
        <w:t>The balances of any income and expenditure are ascribed to the non-ring f</w:t>
      </w:r>
      <w:r>
        <w:t>ence trade.</w:t>
      </w:r>
    </w:p>
    <w:p w14:paraId="67EC8261" w14:textId="77777777" w:rsidR="00D31D65" w:rsidRDefault="00B040C9">
      <w:r>
        <w:t>Where computations are derived from composite accounts and supporting schedules covering both the ring fence and non-ring fence trades care should be taken to ensure that appropriate attributions have been made. In particular, the costs referab</w:t>
      </w:r>
      <w:r>
        <w:t>le to the ring fence activity must be ring fence costs.</w:t>
      </w:r>
    </w:p>
    <w:p w14:paraId="7752AB03" w14:textId="77777777" w:rsidR="00D31D65" w:rsidRDefault="00B040C9">
      <w:r>
        <w:t xml:space="preserve"> Previous page</w:t>
      </w:r>
    </w:p>
    <w:p w14:paraId="397781E2" w14:textId="77777777" w:rsidR="00D31D65" w:rsidRDefault="00B040C9">
      <w:r>
        <w:t xml:space="preserve"> Next page</w:t>
      </w:r>
    </w:p>
    <w:sectPr w:rsidR="00D31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B2C"/>
    <w:rsid w:val="008D67D2"/>
    <w:rsid w:val="009063C8"/>
    <w:rsid w:val="00AA1D8D"/>
    <w:rsid w:val="00B040C9"/>
    <w:rsid w:val="00B47730"/>
    <w:rsid w:val="00CB0664"/>
    <w:rsid w:val="00D31D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A7DB9B4-4924-46D1-A4E1-8DFBDCBF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040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C5A0E-9A3D-4D8B-8A44-51CCA91B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2019-10-25T02:24:00Z</dcterms:modified>
  <cp:category/>
</cp:coreProperties>
</file>