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BF59" w14:textId="77777777" w:rsidR="00097985" w:rsidRDefault="00A97D99">
      <w:pPr>
        <w:pStyle w:val="Title"/>
      </w:pPr>
      <w:bookmarkStart w:id="0" w:name="_GoBack"/>
      <w:bookmarkEnd w:id="0"/>
      <w:r>
        <w:t>HMRC - OT21115 - General Overview</w:t>
      </w:r>
    </w:p>
    <w:p w14:paraId="392AB856" w14:textId="77777777" w:rsidR="00097985" w:rsidRDefault="00A97D99">
      <w:r>
        <w:t>Part 4 - Transfer Pricing TIOPA10 (formerly ICTA88\Sch28AA)</w:t>
      </w:r>
    </w:p>
    <w:p w14:paraId="36EE9096" w14:textId="77777777" w:rsidR="00097985" w:rsidRDefault="00A97D99">
      <w:r>
        <w:t xml:space="preserve">General guidance on the Transfer Pricing rules can be found in the International Manual (INTM). The following paragraphs explain how the normal rules are </w:t>
      </w:r>
      <w:r>
        <w:t>specifically modified for oil companies, and the impact of these modified rules on cross ring fence transactions.</w:t>
      </w:r>
    </w:p>
    <w:p w14:paraId="792DA00F" w14:textId="77777777" w:rsidR="00097985" w:rsidRDefault="00A97D99">
      <w:r>
        <w:t>For detail on the application of Transfer Pricing rules to ring fence interest and financing, see OT22000.</w:t>
      </w:r>
    </w:p>
    <w:p w14:paraId="666249EC" w14:textId="77777777" w:rsidR="00097985" w:rsidRDefault="00A97D99">
      <w:r>
        <w:t xml:space="preserve">TIOPA10\S147(7) - transactions and </w:t>
      </w:r>
      <w:r>
        <w:t>deemed transactions involving oil</w:t>
      </w:r>
    </w:p>
    <w:p w14:paraId="63BAC0EB" w14:textId="77777777" w:rsidR="00097985" w:rsidRDefault="00A97D99">
      <w:r>
        <w:t>The transfer pricing rules within TIOPA10 Part 4 do not apply to transactions and deemed transactions involving oil where the price or consideration is determined under CTA10\S280 and sequence (formerly ICTA88\S493 see OT2</w:t>
      </w:r>
      <w:r>
        <w:t>1027).</w:t>
      </w:r>
    </w:p>
    <w:p w14:paraId="0E87DD94" w14:textId="77777777" w:rsidR="00097985" w:rsidRDefault="00A97D99">
      <w:r>
        <w:t>TIOPA10\S147(1) &amp; S217 - Special rules for sales of oil</w:t>
      </w:r>
    </w:p>
    <w:p w14:paraId="0D4C20F4" w14:textId="77777777" w:rsidR="00097985" w:rsidRDefault="00A97D99">
      <w:r>
        <w:t>This applies Transfer Pricing rules to sales of oil produced by a company in which the buyer and its associates have an interest of 20% or more. For UK oil production this has limited effect as</w:t>
      </w:r>
      <w:r>
        <w:t xml:space="preserve"> the PRT value is used for non-arm’s length sales under CTA10\S280 + and the TIOPA10\S147(7) override will applies.</w:t>
      </w:r>
    </w:p>
    <w:p w14:paraId="3C98EE3B" w14:textId="77777777" w:rsidR="00097985" w:rsidRDefault="00A97D99">
      <w:r>
        <w:t xml:space="preserve"> Next page</w:t>
      </w:r>
    </w:p>
    <w:sectPr w:rsidR="000979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985"/>
    <w:rsid w:val="000E2C95"/>
    <w:rsid w:val="0015074B"/>
    <w:rsid w:val="0029220D"/>
    <w:rsid w:val="0029639D"/>
    <w:rsid w:val="00326F90"/>
    <w:rsid w:val="0085069E"/>
    <w:rsid w:val="00A97D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3F93567-A16B-491D-A7A5-082AC825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97D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7EF0F0-1CAF-4E35-8010-B905AD8B8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2019-10-25T03:28:00Z</dcterms:modified>
  <cp:category/>
</cp:coreProperties>
</file>