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FE80" w14:textId="77777777" w:rsidR="0064529D" w:rsidRDefault="00CA0FF1">
      <w:pPr>
        <w:pStyle w:val="Title"/>
      </w:pPr>
      <w:bookmarkStart w:id="0" w:name="_GoBack"/>
      <w:bookmarkEnd w:id="0"/>
      <w:r>
        <w:t>HMRC - OT21125 - Cross-Ring Fence Transactions Within A Company</w:t>
      </w:r>
    </w:p>
    <w:p w14:paraId="3A352CD9" w14:textId="77777777" w:rsidR="0064529D" w:rsidRDefault="00CA0FF1">
      <w:r>
        <w:t>TIOPA10\S205</w:t>
      </w:r>
    </w:p>
    <w:p w14:paraId="25064B17" w14:textId="77777777" w:rsidR="0064529D" w:rsidRDefault="00CA0FF1">
      <w:r>
        <w:t xml:space="preserve">TIOPA10\S205 (formerly ICTA88\Sch28AA\para11(3)) extends the application of the transfer pricing rules to cross-ring fence transactions within a single company. The ring </w:t>
      </w:r>
      <w:r>
        <w:t>fence and non-ring fence activities of a company are treated for the purposes of TIOPA10 Part4 as if they were separate businesses carried on by separate companies under common control.</w:t>
      </w:r>
    </w:p>
    <w:p w14:paraId="7D7B650D" w14:textId="77777777" w:rsidR="0064529D" w:rsidRDefault="00CA0FF1">
      <w:r>
        <w:t>Transfer pricing adjustments to cross ring fence transactions are subj</w:t>
      </w:r>
      <w:r>
        <w:t>ect to the ‘one way street’ principle. They can only be made where the substitution of an arm’s length price would increase ring fence profits.</w:t>
      </w:r>
    </w:p>
    <w:p w14:paraId="01E0B0AB" w14:textId="77777777" w:rsidR="0064529D" w:rsidRDefault="00CA0FF1">
      <w:r>
        <w:t>For example, if a group’s head office services are charged out to its ring fence business at cost then TIOPA10 P</w:t>
      </w:r>
      <w:r>
        <w:t>art 4 cannot be invoked by the company to substitute a higher arm’s length price that would reduce its ring fence profits for tax purposes.</w:t>
      </w:r>
    </w:p>
    <w:p w14:paraId="23E636DC" w14:textId="77777777" w:rsidR="0064529D" w:rsidRDefault="00CA0FF1">
      <w:r>
        <w:t xml:space="preserve"> Previous page</w:t>
      </w:r>
    </w:p>
    <w:p w14:paraId="51D36C3E" w14:textId="77777777" w:rsidR="0064529D" w:rsidRDefault="00CA0FF1">
      <w:r>
        <w:t xml:space="preserve"> Next page</w:t>
      </w:r>
    </w:p>
    <w:sectPr w:rsidR="00645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8C7"/>
    <w:rsid w:val="00034616"/>
    <w:rsid w:val="0006063C"/>
    <w:rsid w:val="00081B3A"/>
    <w:rsid w:val="0015074B"/>
    <w:rsid w:val="0029639D"/>
    <w:rsid w:val="00326F90"/>
    <w:rsid w:val="005106B0"/>
    <w:rsid w:val="0064529D"/>
    <w:rsid w:val="00AA1D8D"/>
    <w:rsid w:val="00B47730"/>
    <w:rsid w:val="00CA0F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7926A4-3DF1-4B16-AC52-F206385F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A0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DE24E-8D2A-4F4F-ABC0-F4C84D1C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2019-10-25T01:08:00Z</dcterms:modified>
  <cp:category/>
</cp:coreProperties>
</file>