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557A3" w14:textId="48EB60E5" w:rsidR="002B6F7F" w:rsidRDefault="00F0233A">
      <w:pPr>
        <w:pStyle w:val="Title"/>
      </w:pPr>
      <w:bookmarkStart w:id="0" w:name="_GoBack"/>
      <w:bookmarkEnd w:id="0"/>
      <w:r>
        <w:t xml:space="preserve">HMRC - OT21230 - </w:t>
      </w:r>
      <w:ins w:id="1" w:author="Comparison" w:date="2019-10-24T23:58:00Z">
        <w:r>
          <w:t xml:space="preserve">The Supplementary Charge - </w:t>
        </w:r>
      </w:ins>
      <w:r>
        <w:t xml:space="preserve">Restriction Of Relief </w:t>
      </w:r>
      <w:del w:id="2" w:author="Comparison" w:date="2019-10-24T23:58:00Z">
        <w:r>
          <w:delText>For</w:delText>
        </w:r>
      </w:del>
      <w:ins w:id="3" w:author="Comparison" w:date="2019-10-24T23:58:00Z">
        <w:r>
          <w:t>In Respect Of</w:t>
        </w:r>
      </w:ins>
      <w:r>
        <w:t xml:space="preserve"> Decommissioning Expenditure: The Amount Of Restriction</w:t>
      </w:r>
    </w:p>
    <w:p w14:paraId="5A5FF828" w14:textId="77777777" w:rsidR="002B6F7F" w:rsidRDefault="00F0233A">
      <w:r>
        <w:t xml:space="preserve">The increase to the adjusted ring fence profits is an amount equal to the appropriate fraction of the used-up </w:t>
      </w:r>
      <w:r>
        <w:t>amount of decommissioning expenditure.</w:t>
      </w:r>
    </w:p>
    <w:p w14:paraId="2EBFFE9C" w14:textId="77777777" w:rsidR="002B6F7F" w:rsidRDefault="00F0233A">
      <w:r>
        <w:t>The appropriate fraction is equal to (SC-20%)/SC, where SC is the rate of supplementary charge for the accounting period. Where the supplementary charge rate is 32% the appropriate fraction is 3/8ths.</w:t>
      </w:r>
    </w:p>
    <w:p w14:paraId="1697659D" w14:textId="77777777" w:rsidR="002B6F7F" w:rsidRDefault="00F0233A">
      <w:r>
        <w:t>The used up amou</w:t>
      </w:r>
      <w:r>
        <w:t>nt in relation to any decommissioning expenditure is the difference between:</w:t>
      </w:r>
    </w:p>
    <w:p w14:paraId="492201B0" w14:textId="77777777" w:rsidR="002B6F7F" w:rsidRDefault="00F0233A">
      <w:r>
        <w:t>the adjusted ring fence profits for the accounting period (which can be nil) in the absence of the restriction, and</w:t>
      </w:r>
    </w:p>
    <w:p w14:paraId="38A7ABFB" w14:textId="77777777" w:rsidR="002B6F7F" w:rsidRDefault="00F0233A">
      <w:r>
        <w:t>the adjusted ring fence profits computed on the basis of the de</w:t>
      </w:r>
      <w:r>
        <w:t>commissioning expenditure not being taken into account in calculating the profit or loss for the accounting period, or in any loss relief surrendered to the company for the period.</w:t>
      </w:r>
    </w:p>
    <w:p w14:paraId="137D9D5E" w14:textId="77777777" w:rsidR="002B6F7F" w:rsidRDefault="00F0233A">
      <w:r>
        <w:t>The definition of decommissioning expenditure is at CTA2010\S330C, OT21233.</w:t>
      </w:r>
    </w:p>
    <w:p w14:paraId="550AE92D" w14:textId="77777777" w:rsidR="002B6F7F" w:rsidRDefault="00F0233A">
      <w:r>
        <w:t>The legislation is framed to give the most favourable treatment to the company.</w:t>
      </w:r>
    </w:p>
    <w:p w14:paraId="1EA04EDF" w14:textId="77777777" w:rsidR="002B6F7F" w:rsidRDefault="00F0233A">
      <w:r>
        <w:t>When calculating whether any losses arising from decommissioning expenditure have been taken into account, it is assumed that any other amounts of other expenditure that can b</w:t>
      </w:r>
      <w:r>
        <w:t>e taken into account are taken into account before the decommissioning expenditure. This is subject to a right of election by the company should this assumption not be in the company’s favour.</w:t>
      </w:r>
    </w:p>
    <w:p w14:paraId="06FE8D98" w14:textId="77777777" w:rsidR="002B6F7F" w:rsidRDefault="00F0233A">
      <w:r>
        <w:t>Where any losses have been surrendered as group relief, the sur</w:t>
      </w:r>
      <w:r>
        <w:t>renderer and every claimant must jointly specify whether any of the losses surrendered are attributable to decommissioning expenditure.</w:t>
      </w:r>
    </w:p>
    <w:p w14:paraId="6E8AA5C1" w14:textId="77777777" w:rsidR="002B6F7F" w:rsidRDefault="00F0233A">
      <w:r>
        <w:t xml:space="preserve"> Previous page</w:t>
      </w:r>
    </w:p>
    <w:p w14:paraId="5805DD64" w14:textId="77777777" w:rsidR="002B6F7F" w:rsidRDefault="00F0233A">
      <w:r>
        <w:t xml:space="preserve"> Next page</w:t>
      </w:r>
    </w:p>
    <w:sectPr w:rsidR="002B6F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6F7F"/>
    <w:rsid w:val="002E711B"/>
    <w:rsid w:val="00326F90"/>
    <w:rsid w:val="006B1612"/>
    <w:rsid w:val="00AA1D8D"/>
    <w:rsid w:val="00B47730"/>
    <w:rsid w:val="00CB0664"/>
    <w:rsid w:val="00ED5B48"/>
    <w:rsid w:val="00F023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90A3482-9E0C-4783-9C21-E49803C3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023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3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3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AD6933-FAEB-469E-9AE7-FE27D9004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2019-10-24T22:58:00Z</dcterms:modified>
  <cp:category/>
</cp:coreProperties>
</file>