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8260" w14:textId="77777777" w:rsidR="00A86E4B" w:rsidRDefault="00FA405A">
      <w:pPr>
        <w:pStyle w:val="Title"/>
      </w:pPr>
      <w:bookmarkStart w:id="0" w:name="_GoBack"/>
      <w:bookmarkEnd w:id="0"/>
      <w:r>
        <w:t>HMRC - OT21600 - Hire Of Relevant Assets: Contents</w:t>
      </w:r>
    </w:p>
    <w:p w14:paraId="162376CB" w14:textId="700091FF" w:rsidR="00A86E4B" w:rsidRDefault="00FA405A">
      <w:r>
        <w:t xml:space="preserve">OT21601    </w:t>
      </w:r>
      <w:del w:id="1" w:author="Comparison" w:date="2019-10-30T18:36:00Z">
        <w:r>
          <w:delText>Corporation tax ring fence: hire of relevant assets - introduction</w:delText>
        </w:r>
      </w:del>
      <w:ins w:id="2" w:author="Comparison" w:date="2019-10-30T18:36:00Z">
        <w:r>
          <w:t>Introduction</w:t>
        </w:r>
      </w:ins>
    </w:p>
    <w:p w14:paraId="6990FC05" w14:textId="60EDE8C8" w:rsidR="00A86E4B" w:rsidRDefault="00FA405A">
      <w:r>
        <w:t xml:space="preserve">OT21605    </w:t>
      </w:r>
      <w:del w:id="3" w:author="Comparison" w:date="2019-10-30T18:36:00Z">
        <w:r>
          <w:delText>Corporation tax ring fence: hire of relevant assets - scope</w:delText>
        </w:r>
      </w:del>
      <w:ins w:id="4" w:author="Comparison" w:date="2019-10-30T18:36:00Z">
        <w:r>
          <w:t>Scope</w:t>
        </w:r>
      </w:ins>
      <w:r>
        <w:t xml:space="preserve"> of legislation</w:t>
      </w:r>
    </w:p>
    <w:p w14:paraId="7A214772" w14:textId="22083852" w:rsidR="00A86E4B" w:rsidRDefault="00FA405A">
      <w:r>
        <w:t xml:space="preserve">OT21610    </w:t>
      </w:r>
      <w:del w:id="5" w:author="Comparison" w:date="2019-10-30T18:36:00Z">
        <w:r>
          <w:delText xml:space="preserve">Corporation tax ring </w:delText>
        </w:r>
        <w:r>
          <w:delText>fence: hire of relevant assets - effect</w:delText>
        </w:r>
      </w:del>
      <w:ins w:id="6" w:author="Comparison" w:date="2019-10-30T18:36:00Z">
        <w:r>
          <w:t>Effect</w:t>
        </w:r>
      </w:ins>
      <w:r>
        <w:t xml:space="preserve"> of being within CTA2010\S285A</w:t>
      </w:r>
    </w:p>
    <w:p w14:paraId="30655857" w14:textId="77777777" w:rsidR="00DB2A4C" w:rsidRDefault="00FA405A">
      <w:pPr>
        <w:rPr>
          <w:del w:id="7" w:author="Comparison" w:date="2019-10-30T18:36:00Z"/>
        </w:rPr>
      </w:pPr>
      <w:del w:id="8" w:author="Comparison" w:date="2019-10-30T18:36:00Z">
        <w:r>
          <w:delText>OT21615    Corporation tax ring fence: hire of relevant assets - anti avoidance provision</w:delText>
        </w:r>
      </w:del>
    </w:p>
    <w:p w14:paraId="69BED560" w14:textId="77777777" w:rsidR="00A86E4B" w:rsidRDefault="00FA405A">
      <w:pPr>
        <w:rPr>
          <w:ins w:id="9" w:author="Comparison" w:date="2019-10-30T18:36:00Z"/>
        </w:rPr>
      </w:pPr>
      <w:ins w:id="10" w:author="Comparison" w:date="2019-10-30T18:36:00Z">
        <w:r>
          <w:t>OT21615    Anti Avoidance Provision</w:t>
        </w:r>
      </w:ins>
    </w:p>
    <w:p w14:paraId="590CB28B" w14:textId="77777777" w:rsidR="00A86E4B" w:rsidRDefault="00FA405A">
      <w:r>
        <w:t xml:space="preserve"> Previous page</w:t>
      </w:r>
    </w:p>
    <w:sectPr w:rsidR="00A86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471"/>
    <w:rsid w:val="00A86E4B"/>
    <w:rsid w:val="00AA1D8D"/>
    <w:rsid w:val="00B47730"/>
    <w:rsid w:val="00CB0664"/>
    <w:rsid w:val="00DB2A4C"/>
    <w:rsid w:val="00E7300C"/>
    <w:rsid w:val="00FA40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F34AF9-76C6-4B30-BA4F-0F7BF6AE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A40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5288A2-4945-4C17-8761-CDB0A5A4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2019-10-30T18:36:00Z</dcterms:modified>
  <cp:category/>
</cp:coreProperties>
</file>