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34F2" w14:textId="77777777" w:rsidR="00175EAB" w:rsidRDefault="00F1705D">
      <w:pPr>
        <w:pStyle w:val="Title"/>
      </w:pPr>
      <w:bookmarkStart w:id="0" w:name="_GoBack"/>
      <w:bookmarkEnd w:id="0"/>
      <w:r>
        <w:t>HMRC - OT26330 - Capital Allowances: Mineral Extraction Allowance - Acquisition Of Other Assets From Non-Traders</w:t>
      </w:r>
    </w:p>
    <w:p w14:paraId="51221828" w14:textId="77777777" w:rsidR="00175EAB" w:rsidRDefault="00F1705D">
      <w:r>
        <w:t>CAA2001\S409</w:t>
      </w:r>
    </w:p>
    <w:p w14:paraId="24059445" w14:textId="77777777" w:rsidR="00175EAB" w:rsidRDefault="00F1705D">
      <w:r>
        <w:t xml:space="preserve">CAA2001\S409 applies where the trader’s acquisition is of capital assets which represent expenditure on mineral </w:t>
      </w:r>
      <w:r>
        <w:t>exploration and access for the purposes of its mineral extraction trade, where CAA2001\S408 does not apply, and the vendor has not carried on a mineral extraction trade.</w:t>
      </w:r>
    </w:p>
    <w:p w14:paraId="0515D776" w14:textId="77777777" w:rsidR="00175EAB" w:rsidRDefault="00F1705D">
      <w:r>
        <w:t>This section allows that there may be qualifying expenditure on mineral exploration an</w:t>
      </w:r>
      <w:r>
        <w:t>d access but limits the qualifying expenditure to the maximum of the seller’s expenditure on mineral exploration and access represented by the assets.</w:t>
      </w:r>
    </w:p>
    <w:p w14:paraId="31F78CC8" w14:textId="77777777" w:rsidR="00175EAB" w:rsidRDefault="00F1705D">
      <w:r>
        <w:t xml:space="preserve"> Previous page</w:t>
      </w:r>
    </w:p>
    <w:p w14:paraId="00E09001" w14:textId="77777777" w:rsidR="00175EAB" w:rsidRDefault="00F1705D">
      <w:r>
        <w:t xml:space="preserve"> Next page</w:t>
      </w:r>
    </w:p>
    <w:sectPr w:rsidR="00175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EAB"/>
    <w:rsid w:val="0029639D"/>
    <w:rsid w:val="00326F90"/>
    <w:rsid w:val="00715F76"/>
    <w:rsid w:val="008C032A"/>
    <w:rsid w:val="00AA1D8D"/>
    <w:rsid w:val="00B47730"/>
    <w:rsid w:val="00CB0664"/>
    <w:rsid w:val="00F1705D"/>
    <w:rsid w:val="00F31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908DF5F-9A47-411B-8A20-9186171E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17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82F9F-BA93-49D3-AF1F-F68C780F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2019-10-25T03:34:00Z</dcterms:modified>
  <cp:category/>
</cp:coreProperties>
</file>