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3A05" w14:textId="77777777" w:rsidR="002D0B61" w:rsidRDefault="00A354B5">
      <w:pPr>
        <w:pStyle w:val="Title"/>
      </w:pPr>
      <w:bookmarkStart w:id="0" w:name="_GoBack"/>
      <w:bookmarkEnd w:id="0"/>
      <w:r>
        <w:t>HMRC - OT30101 - Drilling Expenditure - Amount Of Deduction</w:t>
      </w:r>
    </w:p>
    <w:p w14:paraId="14997FD4" w14:textId="77777777" w:rsidR="002D0B61" w:rsidRDefault="00A354B5">
      <w:r>
        <w:t>TGCA92\S195(1)</w:t>
      </w:r>
    </w:p>
    <w:p w14:paraId="5FC9A05C" w14:textId="77777777" w:rsidR="002D0B61" w:rsidRDefault="00A354B5">
      <w:r>
        <w:t>TCGA92\S195(1) provides that the amount qualifying for deduction is restricted to expenditure incurred by the person making the disposal -</w:t>
      </w:r>
    </w:p>
    <w:p w14:paraId="5519DA0A" w14:textId="77777777" w:rsidR="002D0B61" w:rsidRDefault="00A354B5">
      <w:r>
        <w:t xml:space="preserve">In searching for oil anywhere in the </w:t>
      </w:r>
      <w:r>
        <w:t>licensed areas, or</w:t>
      </w:r>
    </w:p>
    <w:p w14:paraId="5BCE8BB2" w14:textId="77777777" w:rsidR="002D0B61" w:rsidRDefault="00A354B5">
      <w:r>
        <w:t>In ascertaining the extent or characteristics of any oil-bearing area, the whole or part of which lies in the licensed area, or what the reserves of oil of any such oil-bearing area are.</w:t>
      </w:r>
    </w:p>
    <w:p w14:paraId="1DD2123E" w14:textId="77777777" w:rsidR="002D0B61" w:rsidRDefault="00A354B5">
      <w:r>
        <w:t>Qualifying expenditure “incurred by the person mak</w:t>
      </w:r>
      <w:r>
        <w:t>ing the disposal” can include “inherited” expenditure. Company A may have acquired a licence from group company B in circumstances where either</w:t>
      </w:r>
    </w:p>
    <w:p w14:paraId="1F12A18D" w14:textId="77777777" w:rsidR="002D0B61" w:rsidRDefault="00A354B5">
      <w:r>
        <w:t>CTA10\S939 + applied (company reconstruction without a change of ownership), or</w:t>
      </w:r>
    </w:p>
    <w:p w14:paraId="28CC6D93" w14:textId="77777777" w:rsidR="002D0B61" w:rsidRDefault="00A354B5">
      <w:r>
        <w:t xml:space="preserve">CAA01\S569 applies (election to </w:t>
      </w:r>
      <w:r>
        <w:t>treat sales as being for an alternative amount between connected persons).</w:t>
      </w:r>
    </w:p>
    <w:p w14:paraId="45946197" w14:textId="77777777" w:rsidR="002D0B61" w:rsidRDefault="00A354B5">
      <w:r>
        <w:t>In both cases company A will “inherit” the capital allowances written down values of company B, but will be subject to an capital allowances claw back on a later sale outside the gr</w:t>
      </w:r>
      <w:r>
        <w:t>oup, with reference to the allowances of both companies.</w:t>
      </w:r>
    </w:p>
    <w:p w14:paraId="6870B8BE" w14:textId="77777777" w:rsidR="002D0B61" w:rsidRDefault="00A354B5">
      <w:r>
        <w:t>The words “incurred by the person making the disposal” in TCGA92\S195(1) should in these circumstances be construed in conjunction with CAA01\S569(3) so that the expenditure of both A and B is includ</w:t>
      </w:r>
      <w:r>
        <w:t>ed to the extent that such expenditure is subject to a clawback on A.</w:t>
      </w:r>
    </w:p>
    <w:p w14:paraId="476C3786" w14:textId="77777777" w:rsidR="002D0B61" w:rsidRDefault="00A354B5">
      <w:r>
        <w:t>In similar circumstances company A, instead of on selling the licence outside the group, may leave the group whilst still holding the licence. The de-grouping charge in TCGA92\S179 might</w:t>
      </w:r>
      <w:r>
        <w:t xml:space="preserve"> be triggered. In calculating the chargeable gain TCGA92\S195 will have limited effect since there will be no research and development allowance claw back (see TCGA92\S195(2)).</w:t>
      </w:r>
    </w:p>
    <w:p w14:paraId="1D9AFC1A" w14:textId="77777777" w:rsidR="002D0B61" w:rsidRDefault="00A354B5">
      <w:r>
        <w:t xml:space="preserve"> Previous page</w:t>
      </w:r>
    </w:p>
    <w:p w14:paraId="5DC644EA" w14:textId="77777777" w:rsidR="002D0B61" w:rsidRDefault="00A354B5">
      <w:r>
        <w:t xml:space="preserve"> Next page</w:t>
      </w:r>
    </w:p>
    <w:sectPr w:rsidR="002D0B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B61"/>
    <w:rsid w:val="00326F90"/>
    <w:rsid w:val="00801828"/>
    <w:rsid w:val="00A354B5"/>
    <w:rsid w:val="00AA1D8D"/>
    <w:rsid w:val="00AF297F"/>
    <w:rsid w:val="00B47730"/>
    <w:rsid w:val="00CB0664"/>
    <w:rsid w:val="00E373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814F4D-7F3F-4F84-A745-848F46F2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35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373FD-33D1-43EE-9F41-56F61069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2019-10-25T01:35:00Z</dcterms:modified>
  <cp:category/>
</cp:coreProperties>
</file>