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D6081" w14:textId="77777777" w:rsidR="00FD516B" w:rsidRDefault="001E20BC">
      <w:pPr>
        <w:pStyle w:val="Title"/>
      </w:pPr>
      <w:bookmarkStart w:id="0" w:name="_GoBack"/>
      <w:bookmarkEnd w:id="0"/>
      <w:r>
        <w:t>HMRC - OT30151 - Allowable Costs - Drilling Costs</w:t>
      </w:r>
    </w:p>
    <w:p w14:paraId="293C355E" w14:textId="77777777" w:rsidR="00FD516B" w:rsidRDefault="001E20BC">
      <w:r>
        <w:t xml:space="preserve">Intangible drilling costs which historically were allowed as a Case I deduction following the New Brunswick decision, a practice abolished by FA97, will normally be capitalised in the accounts along </w:t>
      </w:r>
      <w:r>
        <w:t>with the costs of the licence, plant and machinery etc.</w:t>
      </w:r>
    </w:p>
    <w:p w14:paraId="05D81E69" w14:textId="77777777" w:rsidR="00FD516B" w:rsidRDefault="001E20BC">
      <w:r>
        <w:t>Any Intangible drilling costs that have been allowed under Case I must be excluded from the capital gains tax computation.</w:t>
      </w:r>
    </w:p>
    <w:p w14:paraId="4F134BA7" w14:textId="77777777" w:rsidR="00FD516B" w:rsidRDefault="001E20BC">
      <w:r>
        <w:t>Should any intangible drilling cost that has been allowed as a Case I deducti</w:t>
      </w:r>
      <w:r>
        <w:t>on be reimbursed through a sale contract then the attributable sum will be taxable as a Case I receipt.</w:t>
      </w:r>
    </w:p>
    <w:p w14:paraId="324A37A3" w14:textId="77777777" w:rsidR="00FD516B" w:rsidRDefault="001E20BC">
      <w:r>
        <w:t xml:space="preserve"> Next page</w:t>
      </w:r>
    </w:p>
    <w:sectPr w:rsidR="00FD51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5D4"/>
    <w:rsid w:val="0015074B"/>
    <w:rsid w:val="001E20BC"/>
    <w:rsid w:val="0029639D"/>
    <w:rsid w:val="00326F90"/>
    <w:rsid w:val="00857B38"/>
    <w:rsid w:val="00AA1D8D"/>
    <w:rsid w:val="00B47730"/>
    <w:rsid w:val="00CB0664"/>
    <w:rsid w:val="00FC693F"/>
    <w:rsid w:val="00FD516B"/>
    <w:rsid w:val="00FE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E1F5306-71C3-4143-99E0-A1D0329F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E20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9E5B31-0F6C-47EB-A7EC-2F145BFEC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2019-10-25T03:02:00Z</dcterms:modified>
  <cp:category/>
</cp:coreProperties>
</file>