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PAYE57300 - Capture Van Benefit</w:t>
      </w:r>
    </w:p>
    <w:p>
      <w:r>
        <w:t>Van benefit is taxed using a flat rate for the value of the van. Van Fuel benefit is taxed using a flat rate for the fuel. Please see the customer advisor guide for the current van benefit charges</w:t>
      </w:r>
    </w:p>
    <w:p>
      <w:r>
        <w:t>Further guidance on capturing, updating or deleting van benefit is available in action guide tax40122.</w:t>
      </w:r>
    </w:p>
    <w:p>
      <w:r>
        <w:t>Employees who have private use of a company van will not receive a charge for the use of the vehicle if</w:t>
      </w:r>
    </w:p>
    <w:p>
      <w:r>
        <w:t>They have the van mainly for business travel</w:t>
      </w:r>
    </w:p>
    <w:p>
      <w:r>
        <w:t>And</w:t>
      </w:r>
    </w:p>
    <w:p>
      <w:r>
        <w:t>Any private use other than for journeys to and from work is insignificant</w:t>
      </w:r>
    </w:p>
    <w:p>
      <w:r>
        <w:t>Home to work journeys are still considered to be private use, but the rules allow employees to use their van for those journeys without paying tax.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