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STSM031010 - Rates Of Tax</w:t>
      </w:r>
    </w:p>
    <w:p>
      <w:r>
        <w:t>Under FA86/S87, the principal charge to Stamp Duty Reserve Tax (SDRT) applies to agreements to transfer chargeable securities for consideration in money or money’s worth</w:t>
      </w:r>
    </w:p>
    <w:p>
      <w:r>
        <w:t>regardless of whether there is an instrument of transfer</w:t>
      </w:r>
    </w:p>
    <w:p>
      <w:r>
        <w:t>regardless of whether the agreement is completed</w:t>
      </w:r>
    </w:p>
    <w:p>
      <w:r>
        <w:t>whether the transaction takes place in the UK or overseas and</w:t>
      </w:r>
    </w:p>
    <w:p>
      <w:r>
        <w:t>whether the parties to the transaction are resident in the UK or elsewhere.</w:t>
      </w:r>
    </w:p>
    <w:p>
      <w:r>
        <w:t>The principal charge to SDRT is at the rate of 0.5 per cent of the amount or value of the consideration. Where the agreement is subsequently completed by a stock transfer form stamped with ad valorem duty under the stamp duty regime, the SDRT charge is cancelled and repayment made if appropriate (FA86/S92).</w:t>
      </w:r>
    </w:p>
    <w:p>
      <w:r>
        <w:t>A special 1.5 per cent higher rate charge to SDRT applies to the transfer of chargeable securities into depository receipt systems and clearance services.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