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STSM031020 - Territorial Scope</w:t>
      </w:r>
    </w:p>
    <w:p>
      <w:r>
        <w:t>FA96 clarified and extended the territorial scope of Stamp Duty Reserve Tax (SDRT) so that it is chargeable:</w:t>
      </w:r>
    </w:p>
    <w:p>
      <w:r>
        <w:t>whether or not the agreement to transfer chargeable securities is made in the UK and</w:t>
      </w:r>
    </w:p>
    <w:p>
      <w:r>
        <w:t>whether or not any party to the transaction is UK resident ( FA86/S86 (4)).</w:t>
      </w:r>
    </w:p>
    <w:p>
      <w:r>
        <w:t>Chargeable securities are, broadly,</w:t>
      </w:r>
    </w:p>
    <w:p>
      <w:r>
        <w:t>securities issued or raised by UK incorporated companies</w:t>
      </w:r>
    </w:p>
    <w:p>
      <w:r>
        <w:t>securities issued or raised by foreign companies that maintain a UK register</w:t>
      </w:r>
    </w:p>
    <w:p>
      <w:r>
        <w:t>securities issued or raised by a Societas Europaea (SE) with its registered office in the UK</w:t>
      </w:r>
    </w:p>
    <w:p>
      <w:r>
        <w:t>shares in foreign companies which are ‘paired’ with UK shares, and</w:t>
      </w:r>
    </w:p>
    <w:p>
      <w:r>
        <w:t>interests and rights arising out of the above shares and securities (within FA86/S99 (3)(b) and (c)).</w:t>
      </w:r>
    </w:p>
    <w:p>
      <w:r>
        <w:t>For further details on chargeable securities, see STSM031090.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