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STSM031170 - Interaction With Stamp Duty And Exemptions</w:t>
      </w:r>
    </w:p>
    <w:p>
      <w:r>
        <w:t>Where an agreement and instrument of transfer relating to the same transaction would otherwise be subject both to SDRT and stamp duty respectively, a double charge to tax is avoided under FA86/S92 provided the following conditions are met.</w:t>
      </w:r>
    </w:p>
    <w:p>
      <w:r>
        <w:t>Where an instrument is executed in pursuance of the agreement:</w:t>
      </w:r>
    </w:p>
    <w:p>
      <w:r>
        <w:t>within six years of the relevant day (See STSM012040)</w:t>
      </w:r>
    </w:p>
    <w:p>
      <w:r>
        <w:t>transferring to B or his nominee all the chargeable securities to which the agreement relates and</w:t>
      </w:r>
    </w:p>
    <w:p>
      <w:r>
        <w:t>is duly stamped in accordance with stamp duty legislation (or is not chargeable)</w:t>
      </w:r>
    </w:p>
    <w:p>
      <w:r>
        <w:t>the SDRT charge is cancelled and any SDRT paid is repayable (on claim within six years of the relevant day), together with interest if the tax is £25 or more.</w:t>
      </w:r>
    </w:p>
    <w:p>
      <w:r>
        <w:t>There is no SDRT equivalent of sub-sale relief. If A agrees to sell securities to B who agrees to sell them on to C before B’s purchase has completed, then there are potentially two charges to SDRT. If the transfer from A to C is effected by an instrument of transfer which is duly stamped, this cancels only the SDRT on the agreement for transfer to C. The initial agreement between A and B will still give rise to a charge to SDRT.</w:t>
      </w:r>
    </w:p>
    <w:p>
      <w:r>
        <w:t>Special rules apply regarding the cancellation and repayment of SDRT payable on an ‘own-shares agreement’ (an agreement to transfer shares in a company to that company - FA86/S92 (1C and 1D).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