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ABCC" w14:textId="77777777" w:rsidR="00C95D87" w:rsidRDefault="007434EB">
      <w:pPr>
        <w:pStyle w:val="Title"/>
      </w:pPr>
      <w:bookmarkStart w:id="0" w:name="_GoBack"/>
      <w:bookmarkEnd w:id="0"/>
      <w:r>
        <w:t>HMRC - STSM067030 - Bearer Instruments-SDRT: Issue Of A Bearer Security By A Non-United Kingdom Company</w:t>
      </w:r>
    </w:p>
    <w:p w14:paraId="69FF8D32" w14:textId="77777777" w:rsidR="00C95D87" w:rsidRDefault="007434EB">
      <w:r>
        <w:t xml:space="preserve">A bearer instrument stamp duty charge at the rate of 1.5 per cent arises when a sterling denominated bearer instrument relating to stocks and </w:t>
      </w:r>
      <w:r>
        <w:t>shares is issued by or on behalf of a United Kingdom (UK) company by virtue of FA99/SCH15.**</w:t>
      </w:r>
    </w:p>
    <w:p w14:paraId="0BD89A13" w14:textId="77777777" w:rsidR="00C95D87" w:rsidRDefault="007434EB">
      <w:r>
        <w:t>The bearer instrument stamp duty charge also extends to a transfer on sale of a bearer issued by or on behalf of a company that is not incorporated in the UK, if t</w:t>
      </w:r>
      <w:r>
        <w:t>he transfer is undertaken in, or relates to anything to be done in the UK, subject to any stamp duty relief being available under the provisions of FA99/SCH15.**</w:t>
      </w:r>
    </w:p>
    <w:p w14:paraId="0F9B7564" w14:textId="77777777" w:rsidR="00C95D87" w:rsidRDefault="007434EB">
      <w:r>
        <w:t xml:space="preserve">But, unlike stamp duty, an agreement to transfer a security constituted by or transferable by </w:t>
      </w:r>
      <w:r>
        <w:t>means of a bearer instrument issued by or on behalf of a non-UK incorporated company, is not subject to a principal 0.5 per cent Stamp Duty Reserve Tax (SDRT) charge by virtue of FA86/S90 (3). The reason for no SDRT charge is because the security is not is</w:t>
      </w:r>
      <w:r>
        <w:t>sued or raised by a company that is incorporated in the United Kingdom.</w:t>
      </w:r>
    </w:p>
    <w:p w14:paraId="59F3306E" w14:textId="77777777" w:rsidR="00C95D87" w:rsidRDefault="007434EB">
      <w:r>
        <w:t>** Following the decisions by the European Court of Justice (ECJ) in October 2009 in the case of HSBC Holdings PLC and Vidacos Nominees Ltd v Commissioners for HM Revenue &amp; Customs (C5</w:t>
      </w:r>
      <w:r>
        <w:t>69/07), and the First-Tier Tribunal [Tax Chamber] (FTT) in March 2012 in the case of HSBC Holdings PLC and the Bank of New York Mellon Corporation v Commissioners for HM Revenue &amp; Customs (TC/2009/16584), HM Revenue &amp; customs (HMRC) accepts that where shar</w:t>
      </w:r>
      <w:r>
        <w:t>es and, by extension, bearer instruments/shares in a UK incorporated company are issued, the imposition of a 1.5 per cent stamp charge is incompatible with European Union law.</w:t>
      </w:r>
    </w:p>
    <w:p w14:paraId="6195C127" w14:textId="77777777" w:rsidR="00C95D87" w:rsidRDefault="007434EB">
      <w:r>
        <w:t>In these circumstances and until such time as the provisions of FA99/SCH15/PARA1</w:t>
      </w:r>
      <w:r>
        <w:t xml:space="preserve"> are amended, HMRC will not seek to collect 1.5 per cent stamp duty on the issue of a bearer instrument.</w:t>
      </w:r>
    </w:p>
    <w:p w14:paraId="491FE32A" w14:textId="77777777" w:rsidR="00C95D87" w:rsidRDefault="007434EB">
      <w:r>
        <w:t xml:space="preserve"> Previous page</w:t>
      </w:r>
    </w:p>
    <w:p w14:paraId="675A8E9C" w14:textId="77777777" w:rsidR="00C95D87" w:rsidRDefault="007434EB">
      <w:r>
        <w:t xml:space="preserve"> Next page</w:t>
      </w:r>
    </w:p>
    <w:sectPr w:rsidR="00C95D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34A4"/>
    <w:rsid w:val="00326F90"/>
    <w:rsid w:val="007434EB"/>
    <w:rsid w:val="007D22F1"/>
    <w:rsid w:val="00AA1D8D"/>
    <w:rsid w:val="00B47730"/>
    <w:rsid w:val="00C95D87"/>
    <w:rsid w:val="00CB0664"/>
    <w:rsid w:val="00E66E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1952EE2-FAAD-4785-9A49-AA8CE409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434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AEAE6E-105A-4AB3-9397-12FBCAA36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2019-10-25T02:40:00Z</dcterms:modified>
  <cp:category/>
</cp:coreProperties>
</file>