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A2B42" w14:textId="77777777" w:rsidR="00D54D2C" w:rsidRDefault="004E351F">
      <w:pPr>
        <w:pStyle w:val="Title"/>
      </w:pPr>
      <w:bookmarkStart w:id="0" w:name="_GoBack"/>
      <w:bookmarkEnd w:id="0"/>
      <w:r>
        <w:t>HMRC - STSM067070 - Bearer Instruments-SDRT: Renounceable Letter Of Allotment</w:t>
      </w:r>
    </w:p>
    <w:p w14:paraId="530A5399" w14:textId="77777777" w:rsidR="00D54D2C" w:rsidRDefault="004E351F">
      <w:r>
        <w:t xml:space="preserve">A rights issue usually involves a corporate body offering new allotted shares or bearer shares to its existing shareholders, in proportion to their existing holding. The </w:t>
      </w:r>
      <w:r>
        <w:t>offer gives a shareholder a right but not the obligation to subscribe for additional shares. The terms of a renounceable letter of allotment may provide the holder with an opportunity to renounce his/her rights in the letter before the offer closes, to a t</w:t>
      </w:r>
      <w:r>
        <w:t>hird person.</w:t>
      </w:r>
    </w:p>
    <w:p w14:paraId="4E35FF81" w14:textId="77777777" w:rsidR="00D54D2C" w:rsidRDefault="004E351F">
      <w:r>
        <w:t>By virtue of FA99/SCH15/PARA16, there is no bearer instrument stamp duty charge on renounceable letters of allotment, letters of rights or other similar instruments in respect of a sterling denominated United Kingdom (UK) bearer security, wher</w:t>
      </w:r>
      <w:r>
        <w:t>e the rights are renounceable not later than six months after the issue of the letter or instrument.</w:t>
      </w:r>
    </w:p>
    <w:p w14:paraId="0897D96C" w14:textId="77777777" w:rsidR="00D54D2C" w:rsidRDefault="004E351F">
      <w:r>
        <w:t>While the issue of a renounceable letter of allotment is not chargeable to Stamp Duty Reserve Tax (SDRT), an agreement to transfer rights under a renouncea</w:t>
      </w:r>
      <w:r>
        <w:t xml:space="preserve">ble letter of allotment, letter of right, or other similar instrument in respect of a sterling denominated UK bearer security after its issue can, unlike stamp duty, be subject to a charge to SDRT at the rate of 0.5 per cent by virtue of FA86/S90 (3A) and </w:t>
      </w:r>
      <w:r>
        <w:t>FA86/S90 (3B). This is because ‘rights to allotments of or to subscribe for’ stocks shares and loan capital is a SDRT ‘chargeable security’ (by virtue of FA86/S99(3)(c) )</w:t>
      </w:r>
    </w:p>
    <w:p w14:paraId="447CCABE" w14:textId="77777777" w:rsidR="00D54D2C" w:rsidRDefault="004E351F">
      <w:r>
        <w:t xml:space="preserve">A higher 1.5 per cent SDRT charge FA86/S93 (4)(b) or FA86/S96 (2)(b) can apply where </w:t>
      </w:r>
      <w:r>
        <w:t xml:space="preserve">the rights in respect of a sterling denominated United Kingdom bearer security represented by an allotment letter are renounced and transferred to another person and the letter is simultaneously lodged with a depositary receipt issuer or clearance service </w:t>
      </w:r>
      <w:r>
        <w:t>system. The charge is calculated by reference to the consideration paid in money or money’s worth for the rights transferred.</w:t>
      </w:r>
    </w:p>
    <w:p w14:paraId="027AB1F2" w14:textId="77777777" w:rsidR="00D54D2C" w:rsidRDefault="004E351F">
      <w:r>
        <w:t>While the provisions of FA86/S93(4)(a) or FA86/S96(2)(a) provide for a 1.5 per cent charge when, on take-up of the allotment, bear</w:t>
      </w:r>
      <w:r>
        <w:t>er shares are issued to the depositary receipt issuer or clearance service which holds a letter of acceptance or allotment, HMRC do not seek to collect the 1.5 per cent tax. This is because, following the decisions by the European Court of Justice (ECJ) in</w:t>
      </w:r>
      <w:r>
        <w:t xml:space="preserve"> October 2009 in the case of HSBC Holdings PLC and Vidacos Nominees Ltd v Commissioners for HM Revenue &amp; Customs (C569/07), and the First-Tier Tribunal [Tax Chamber] (FTT) in March 2012 in the case of HSBC Holdings PLC and the Bank of New York Mellon Corpo</w:t>
      </w:r>
      <w:r>
        <w:t xml:space="preserve">ration v Commissioners for HM Revenue &amp; Customs (TC/2009/16584), HMRC accepts that where shares and, by extension, bearer shares in a UK incorporated company are issued to a clearance service or to a depositary receipt issuer </w:t>
      </w:r>
      <w:r>
        <w:lastRenderedPageBreak/>
        <w:t>anywhere in the world, the imp</w:t>
      </w:r>
      <w:r>
        <w:t>osition of a 1.5 per cent SDRT charge is incompatible with European Union law.</w:t>
      </w:r>
    </w:p>
    <w:p w14:paraId="38093900" w14:textId="77777777" w:rsidR="00D54D2C" w:rsidRDefault="004E351F">
      <w:r>
        <w:t xml:space="preserve"> Previous page</w:t>
      </w:r>
    </w:p>
    <w:sectPr w:rsidR="00D54D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51F"/>
    <w:rsid w:val="0056770D"/>
    <w:rsid w:val="00AA1D8D"/>
    <w:rsid w:val="00B47730"/>
    <w:rsid w:val="00C44C66"/>
    <w:rsid w:val="00CB0664"/>
    <w:rsid w:val="00D54D2C"/>
    <w:rsid w:val="00E757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5CCE4A5-1F88-4F32-921E-8B19D279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E3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46235-9F7D-44E3-B321-262786CA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2019-10-25T01:16:00Z</dcterms:modified>
  <cp:category/>
</cp:coreProperties>
</file>