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TOBPMMLS12000 - Forfeiture</w:t>
      </w:r>
    </w:p>
    <w:p>
      <w:r>
        <w:t>(This content has been withheld because of exemptions in the Freedom of Information Act 2000)</w:t>
      </w:r>
    </w:p>
    <w:p/>
    <w:p>
      <w:r>
        <w:t>CEMA S139(1) provides the legal power to seize goods liable to forfeiture.</w:t>
      </w:r>
    </w:p>
    <w:p/>
    <w:p>
      <w:r>
        <w:t>A tobacco products manufacturing machine can be seized where:</w:t>
      </w:r>
    </w:p>
    <w:p/>
    <w:p>
      <w:r>
        <w:t>a regulated activity is carried out in the UK without a licence</w:t>
      </w:r>
    </w:p>
    <w:p>
      <w:r>
        <w:t>a tobacco products manufacturing machine is manufactured without holding a licence</w:t>
      </w:r>
    </w:p>
    <w:p>
      <w:r>
        <w:t>any of the conditions or restrictions that apply to the licence have been breached</w:t>
      </w:r>
    </w:p>
    <w:p>
      <w:r>
        <w:t>the requirements for an exemption of being granted a licence has been breached.</w:t>
      </w:r>
    </w:p>
    <w:p>
      <w:r>
        <w:t>tobacco products manufacturing machinery continues to be used following the licence being revoked.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