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TOBPMMLS2150 - Overview Of The Law</w:t>
      </w:r>
    </w:p>
    <w:p>
      <w:r>
        <w:t>The law places obligations on any individual/company that intends to perform a regulated activity in the UK to apply for a licence under the scheme before acquiring any machinery to do so.</w:t>
      </w:r>
    </w:p>
    <w:p>
      <w:r>
        <w:t>Any failure to comply with these requirements may result in the owner of the tobacco products manufacturing machinery being liable to a penalty.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