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TOBPMMLS6000 - Obligations</w:t>
      </w:r>
    </w:p>
    <w:p>
      <w:r>
        <w:t>TOBPMMLS6050    Obligations for the individual/company on receipt of the licence</w:t>
      </w:r>
    </w:p>
    <w:p>
      <w:r>
        <w:t>TOBPMMLS6100    Obligations for tobacco products manufacturing machine manufacturers</w:t>
      </w:r>
    </w:p>
    <w:p>
      <w:r>
        <w:t>TOBPMMLS6150    Obligations for any person purchasing a tobacco products manufacturing machine</w:t>
      </w:r>
    </w:p>
    <w:p>
      <w:r>
        <w:t>TOBPMMLS6200    Obligations for any person selling a tobacco products manufacturing machine</w:t>
      </w:r>
    </w:p>
    <w:p>
      <w:r>
        <w:t>TOBPMMLS6250    Obligations when selling a tobacco products manufacturing machine outside of the UK</w:t>
      </w:r>
    </w:p>
    <w:p>
      <w:r>
        <w:t>TOBPMMLS6300    Obligations when destroying a tobacco products manufacturing machine</w:t>
      </w:r>
    </w:p>
    <w:p>
      <w:r>
        <w:t>TOBPMMLS6350    Obligations when importing a tobacco products manufacturing machine into the UK</w:t>
      </w:r>
    </w:p>
    <w:p>
      <w:r>
        <w:t>TOBPMMLS6400    Obligations when purchasing parts for a tobacco products manufacturing machine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