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TOBPMMLS6050 - Obligations For The Individual/Company On Receipt Of The Licence</w:t>
      </w:r>
    </w:p>
    <w:p>
      <w:r>
        <w:t>As a condition of the licence the applicant needs to keep records regarding the regulated activity. i.e.:-</w:t>
      </w:r>
    </w:p>
    <w:p>
      <w:r>
        <w:t>details of purchase orders or rental details for the machinery</w:t>
      </w:r>
    </w:p>
    <w:p>
      <w:r>
        <w:t>sales invoices of any tobacco products manufacturing machine</w:t>
      </w:r>
    </w:p>
    <w:p>
      <w:r>
        <w:t>delivery and transportation notes</w:t>
      </w:r>
    </w:p>
    <w:p>
      <w:r>
        <w:t>details of any destruction of tobacco products manufacturing machinery</w:t>
      </w:r>
    </w:p>
    <w:p>
      <w:r>
        <w:t>sales records including customer ULNs</w:t>
      </w:r>
    </w:p>
    <w:p>
      <w:r>
        <w:t>import and export details</w:t>
      </w:r>
    </w:p>
    <w:p>
      <w:r>
        <w:t>details of the machines SIN</w:t>
      </w:r>
    </w:p>
    <w:p>
      <w:r>
        <w:t>Any changes to the licence must be notified to us before the changes take place to ensure that the applicant is still ‘fit and proper’.</w:t>
      </w:r>
    </w:p>
    <w:p/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