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TOBPMMLS6150 - Obligations For Any Person Purchasing A Tobacco Products Manufacturing Machine</w:t>
      </w:r>
    </w:p>
    <w:p>
      <w:r>
        <w:t>A licence giving approval under the scheme to carry out regulated activities in the UK must be held. If a further tobacco products manufacturing machine is to be purchased the following details should be supplied before the purchase or leasing takes place:-</w:t>
      </w:r>
    </w:p>
    <w:p>
      <w:r>
        <w:t>their unique licence number</w:t>
      </w:r>
    </w:p>
    <w:p>
      <w:r>
        <w:t>the purchase date of the machine</w:t>
      </w:r>
    </w:p>
    <w:p>
      <w:r>
        <w:t>the address where the new machine will be delivered and stored</w:t>
      </w:r>
    </w:p>
    <w:p>
      <w:r>
        <w:t>the products being manufactured by the machine</w:t>
      </w:r>
    </w:p>
    <w:p>
      <w:r>
        <w:t>the date the machine was manufactured</w:t>
      </w:r>
    </w:p>
    <w:p>
      <w:r>
        <w:t>the serial number of the machine</w:t>
      </w:r>
    </w:p>
    <w:p>
      <w:r>
        <w:t>the previous owner of the machine</w:t>
      </w:r>
    </w:p>
    <w:p>
      <w:r>
        <w:t>the ULN of the seller if they are in the UK</w:t>
      </w:r>
    </w:p>
    <w:p>
      <w:r>
        <w:t>the specific identification number which has been allocated by us.</w:t>
      </w:r>
    </w:p>
    <w:p>
      <w:r>
        <w:t>details of the haulier that transported the machine</w:t>
      </w:r>
    </w:p>
    <w:p>
      <w:r>
        <w:t>(This content has been withheld because of exemptions in the Freedom of Information Act 2000)</w:t>
      </w:r>
    </w:p>
    <w:p>
      <w:r>
        <w:t>If the person receiving the tobacco products manufacturing machinery does not have a licence under the scheme in place then penalties may be applied, and the machine will be liable to forfeiture.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