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TOBPMMLS6250 - Obligations When Selling A Tobacco Products Manufacturing Machine Outside Of The UK</w:t>
      </w:r>
    </w:p>
    <w:p>
      <w:r>
        <w:t>At the present time it is not a requirement for tobacco products manufacturing machine holders to be licensed under this scheme if they are overseas.</w:t>
      </w:r>
    </w:p>
    <w:p>
      <w:r>
        <w:t>Therefore if the sale of a machine is made to a business outside of the UK, the following specifics should be recorded and confirmed to us before the sale takes place:</w:t>
      </w:r>
    </w:p>
    <w:p>
      <w:r>
        <w:t>the name of the business purchasing the machine</w:t>
      </w:r>
    </w:p>
    <w:p>
      <w:r>
        <w:t>the address of the business purchasing the machine</w:t>
      </w:r>
    </w:p>
    <w:p>
      <w:r>
        <w:t>if different, the address where the machine is being delivered</w:t>
      </w:r>
    </w:p>
    <w:p>
      <w:r>
        <w:t>the amount that the machine was sold for</w:t>
      </w:r>
    </w:p>
    <w:p>
      <w:r>
        <w:t>the relevant VAT and excise approval numbers. (If sale made to an EU Member State)</w:t>
      </w:r>
    </w:p>
    <w:p>
      <w:r>
        <w:t>the type of tobacco products being manufactured</w:t>
      </w:r>
    </w:p>
    <w:p>
      <w:r>
        <w:t>do they hold the respective approval or registration to produce tobacco products in their country</w:t>
      </w:r>
    </w:p>
    <w:p>
      <w:r>
        <w:t>the maximum volume of tobacco products manufactured in the agreed set period</w:t>
      </w:r>
    </w:p>
    <w:p>
      <w:r>
        <w:t>The specific identification number of the tobacco products manufacturing machine</w:t>
      </w:r>
    </w:p>
    <w:p>
      <w:r>
        <w:t>Regardless of the country of sale, due diligence should also be undertaken, to ensure that the potential of manufacturing illicit tobacco is kept to a minimum. Where possible, confirmation of the intended market for products manufactured by the tobacco products manufacturing machine that is being sold should be obtained.</w:t>
      </w:r>
    </w:p>
    <w:p>
      <w:r>
        <w:t>We will also require notification that a change to the licence is due to take place to enable the necessary amendments/revocation to take place.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