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TOBPMMLS6400 - Obligations When Purchasing Parts For A Tobacco Products Manufacturing Machine</w:t>
      </w:r>
    </w:p>
    <w:p>
      <w:r>
        <w:t>When parts are purchased for the tobacco products manufacturing machine the following details should be recorded and the evidence kept by the licensee:-</w:t>
      </w:r>
    </w:p>
    <w:p>
      <w:r>
        <w:t>the unique licence number of the tobacco products manufacturing machine that will be effected</w:t>
      </w:r>
    </w:p>
    <w:p>
      <w:r>
        <w:t>the specific identification number that has been assigned to the tobacco products manufacturing machine which requires the part</w:t>
      </w:r>
    </w:p>
    <w:p>
      <w:r>
        <w:t>the title of the part concerned</w:t>
      </w:r>
    </w:p>
    <w:p>
      <w:r>
        <w:t>details of the part being replaced, including destruction</w:t>
      </w:r>
    </w:p>
    <w:p>
      <w:r>
        <w:t>We do not need to be informed of every part purchase. Records should be retained to show details of the part and its purpose. (This content has been withheld because of exemptions in the Freedom of Information Act 2000)</w:t>
      </w:r>
    </w:p>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