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TTM17496 - Part X The Ring Fence - Capital Allowances - Ship Leasing - Para 90 Defeased Leasing</w:t>
      </w:r>
    </w:p>
    <w:p>
      <w:r>
        <w:t>FA00/SCH22/PARA90</w:t>
      </w:r>
    </w:p>
    <w:p>
      <w:r>
        <w:t>(1) The lessor under the lease is not entitled to capital allowances in respect of expenditure on the provision of the ship if-</w:t>
      </w:r>
    </w:p>
    <w:p>
      <w:r>
        <w:t>(a) the lease, or</w:t>
      </w:r>
    </w:p>
    <w:p>
      <w:r>
        <w:t>(b) any transaction or series of transaction of which the lease forms a part,</w:t>
      </w:r>
    </w:p>
    <w:p>
      <w:r>
        <w:t>makes provision the effect of which is to remove the whole, or the greater part of, any non-compliance risk which, apart from that provision, would fall directly or indirectly on the lessor.</w:t>
      </w:r>
    </w:p>
    <w:p>
      <w:r>
        <w:t>(2) For this purpose a “non-compliance risk” means a risk that a loss will be sustained by any person if payments under the lease are not made in accordance with its terms.</w:t>
      </w:r>
    </w:p>
    <w:p>
      <w:r>
        <w:t>(3) For the purposes of this paragraph the lessor and any persons connected with him shall be treated as the same person.</w:t>
      </w:r>
    </w:p>
    <w:p>
      <w:r>
        <w:t>(4) In this paragraph “connected person” has the meaning given by section 839 of the Taxes Act 1988.</w:t>
      </w:r>
    </w:p>
    <w:p>
      <w:r>
        <w:t>References</w:t>
      </w:r>
    </w:p>
    <w:p/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