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VATDSAG01000 - Introduction: Contents</w:t>
      </w:r>
    </w:p>
    <w:p>
      <w:r>
        <w:t>VATDSAG01050    Introduction: scope of this guidance</w:t>
      </w:r>
    </w:p>
    <w:p>
      <w:r>
        <w:t>VATDSAG01100    Introduction: law</w:t>
      </w:r>
    </w:p>
    <w:p>
      <w:r>
        <w:t>VATDSAG01150    Introduction: the role of VAT Policy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