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VATDSAG01150 - Introduction: The Role Of VAT Policy</w:t>
      </w:r>
    </w:p>
    <w:p>
      <w:r>
        <w:t>The VAT Registration and Accounting Policy team in the Indirect Tax Directorate has policy responsibility for single entity and disaggregation issues.</w:t>
      </w:r>
    </w:p>
    <w:p>
      <w:r>
        <w:t>This guidance should help you to take decisions without referring to policy. Any points of difficulty should, in the first instance, be referred to line management.</w:t>
      </w:r>
    </w:p>
    <w:p>
      <w:r>
        <w:t>If you cannot resolve the case locally and need to refer to the VAT Registration and Accounting Policy team with a written submission, you need to put them in a position to make their decision based upon a full understanding of the facts.</w:t>
      </w:r>
    </w:p>
    <w:p>
      <w:r>
        <w:t>You should submit the case following the guidance on the Indirect Tax Directorate intranet page Getting Advice.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