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VATDSAG02000 - Handling Business Separation Cases: Contents</w:t>
      </w:r>
    </w:p>
    <w:p>
      <w:r>
        <w:t>VATDSAG02050    Handling business separation cases: an overview</w:t>
      </w:r>
    </w:p>
    <w:p>
      <w:r>
        <w:t>VATDSAG02100    Handling business separation cases: possible conclusions</w:t>
      </w:r>
    </w:p>
    <w:p>
      <w:r>
        <w:t>VATDSAG02150    Handling business separation cases: recommended approach</w:t>
      </w:r>
    </w:p>
    <w:p>
      <w:r>
        <w:t>VATDSAG02200    Handling business separation cases: using the checklists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