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VATDSAG03200 - Intention</w:t>
      </w:r>
    </w:p>
    <w:p>
      <w:r>
        <w:t>Before you rule that a separated business is a single entity, you must confirm the traders’ intention when they organised the business. Tribunals have given a lot of weight to the intention of traders. Where it is evident that</w:t>
      </w:r>
    </w:p>
    <w:p>
      <w:r>
        <w:t>the traders’ intention was to operate as separate entities, and</w:t>
      </w:r>
    </w:p>
    <w:p>
      <w:r>
        <w:t>they have made a genuine attempt to separate the business activities</w:t>
      </w:r>
    </w:p>
    <w:p>
      <w:r>
        <w:t>the Tribunal will invariably decide in their favour; see R Wallace at page VATDSAG08400.</w:t>
      </w:r>
    </w:p>
    <w:p>
      <w:r>
        <w:t>If the explanation you are given would be a difficult one to dispute, especially before a Tribunal, you should accept that more than one legal entity exists. In such circumstances, you should still consider whether the separation is artificial and thus whether a Notice of Direction should be issued (see VATDSAG06000).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