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VATDSAG04350 - Scottish Partnerships</w:t>
      </w:r>
    </w:p>
    <w:p>
      <w:r>
        <w:t>Scottish partnership law differs from that in the rest of the United Kingdom. Where</w:t>
      </w:r>
    </w:p>
    <w:p>
      <w:r>
        <w:t>you are trying to establish whether there is a single entity, and</w:t>
      </w:r>
    </w:p>
    <w:p>
      <w:r>
        <w:t>the businesses are Scottish</w:t>
      </w:r>
    </w:p>
    <w:p>
      <w:r>
        <w:t>please read</w:t>
      </w:r>
    </w:p>
    <w:p>
      <w:r>
        <w:t>VATREG09050. (External users can find the guidance at http://www.hmrc.gov.uk/manuals/vatregmanual/VATREG09050.htm.)</w:t>
      </w:r>
    </w:p>
    <w:p>
      <w:r>
        <w:t>Where a Scottish partnership is properly constituted we would not normally pursue a single entity argument against two or more identically constituted partnerships. However, we may still consider a notice of direction to treat them as a single entity from a current date.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