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VATDSAG08100 - Tribunal: Husband And Wife Cases: Stephen And Angela Trippitt</w:t>
      </w:r>
    </w:p>
    <w:p>
      <w:r>
        <w:t>The case of Stephen and Angela Trippitt (MAN/00/0249) VTD 17340 addressed the question of whether a husband and wife could operate two businesses from the same premises.</w:t>
      </w:r>
    </w:p>
    <w:p>
      <w:r>
        <w:t>In this case, the Tribunal decided that</w:t>
      </w:r>
    </w:p>
    <w:p>
      <w:r>
        <w:t>the traders had successfully separated the activities of public house and bed and breakfast into two separate entities</w:t>
      </w:r>
    </w:p>
    <w:p>
      <w:r>
        <w:t>we were incorrect in issuing a Notice of Direction.</w:t>
      </w:r>
    </w:p>
    <w:p>
      <w:r>
        <w:t>The facts showed the extent of the commercial relationship between the entities, in addition to which Mrs Trippitt gave 35% of her takings to her husband.</w:t>
      </w:r>
    </w:p>
    <w:p>
      <w:r>
        <w:t>The Tribunal was satisfied that this amount constituted a realistic, commercial, arm’s length contribution towards the value of the shared premises and telephone and utilities.</w:t>
      </w:r>
    </w:p>
    <w:p>
      <w:r>
        <w:t>This decision means that where one entity argues that it pays a fixed percentage of its takings to the other, you need to establish:</w:t>
      </w:r>
    </w:p>
    <w:p>
      <w:r>
        <w:t>what would happen if there were no takings?</w:t>
      </w:r>
    </w:p>
    <w:p>
      <w:r>
        <w:t>would a minimal amount still have to be paid?</w:t>
      </w:r>
    </w:p>
    <w:p>
      <w:r>
        <w:t>if not, how does that entity see these arrangements as constituting a normal commercial relationship, given that it is at no financial risk?</w:t>
      </w:r>
    </w:p>
    <w:p>
      <w:r>
        <w:t>is there a real monetary transaction (as opposed to just the appearance of one in the books)? Can they provide evidence of this?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