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VATDSAG08200 - Tribunal: Husband And Wife Cases: Salmon Tail</w:t>
      </w:r>
    </w:p>
    <w:p>
      <w:r>
        <w:t>In Salmon Tail (MAN/1999/0213 VTD16190) we treated the appellants, who were husband and wife, as a single entity. They argued that there were two separate entities of</w:t>
      </w:r>
    </w:p>
    <w:p>
      <w:r>
        <w:t>a partnership providing wet sales, and</w:t>
      </w:r>
    </w:p>
    <w:p>
      <w:r>
        <w:t>a sole proprietor (one of the partners) providing catering and accommodation.</w:t>
      </w:r>
    </w:p>
    <w:p>
      <w:r>
        <w:t>In reaching its decision, the Tribunal decided that several factors pointed towards there being one business. These included</w:t>
      </w:r>
    </w:p>
    <w:p>
      <w:r>
        <w:t>the lack of a commercial relationship between the two businesses</w:t>
      </w:r>
    </w:p>
    <w:p>
      <w:r>
        <w:t>the fact that the premises was funded by the partnership, with no cross-charge for use to the sole proprietor</w:t>
      </w:r>
    </w:p>
    <w:p>
      <w:r>
        <w:t>there was only one insurance policy</w:t>
      </w:r>
    </w:p>
    <w:p>
      <w:r>
        <w:t>the fact that no cross-charge was made for use of the facilities.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