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VATDSAG08350 - Tribunal: RE Newton</w:t>
      </w:r>
    </w:p>
    <w:p>
      <w:r>
        <w:t>In the case of R E Newton (LON/2000/0084) VTD 17222, we argued that the appellant was a single entity. The Tribunal ruled that there were two entities of</w:t>
      </w:r>
    </w:p>
    <w:p>
      <w:r>
        <w:t>a VAT-registered partnership of father and son, providing carpentry services to VAT-registered customers, and</w:t>
      </w:r>
    </w:p>
    <w:p>
      <w:r>
        <w:t>an unregistered partnership of mother and son, providing carpentry services to unregistered customers.</w:t>
      </w:r>
    </w:p>
    <w:p>
      <w:r>
        <w:t>To support their claim of separate businesses, the appellants quoted the case of Seabreeze in their appeal.</w:t>
      </w:r>
    </w:p>
    <w:p>
      <w:r>
        <w:t>In reaching its decision, the Tribunal decided that there were several factors which pointed towards the businesses being separate, including:</w:t>
      </w:r>
    </w:p>
    <w:p>
      <w:r>
        <w:t>the existence of a partnership agreement for the partnership</w:t>
      </w:r>
    </w:p>
    <w:p>
      <w:r>
        <w:t>the small amount of sales made by the partnership</w:t>
      </w:r>
    </w:p>
    <w:p>
      <w:r>
        <w:t>separate accounts</w:t>
      </w:r>
    </w:p>
    <w:p>
      <w:r>
        <w:t>separate books and records</w:t>
      </w:r>
    </w:p>
    <w:p>
      <w:r>
        <w:t>the existence of an arm’s length relationship between the two entities.</w:t>
      </w:r>
    </w:p>
    <w:p>
      <w:r>
        <w:t>It should be noted that the Chairman made the same comments regarding a solution as were made in Seabreeze: we should issue a notice of direction.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