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VATDSAG08400 - Tribunal: R Wallace</w:t>
      </w:r>
    </w:p>
    <w:p>
      <w:r>
        <w:t>In R Wallace (LON/2000/0599) VTD 17109, we argued that the appellants - who ran a public house - were a single entity. In the opinion of the Tribunal, there were two separate entities of</w:t>
      </w:r>
    </w:p>
    <w:p>
      <w:r>
        <w:t>a sole proprietor supplying wet sales, and</w:t>
      </w:r>
    </w:p>
    <w:p>
      <w:r>
        <w:t>a second sole proprietor providing catering.</w:t>
      </w:r>
    </w:p>
    <w:p>
      <w:r>
        <w:t>Despite substantial evidence indicating a single business, the Tribunal placed considerable weight on the traders’ intention when reaching its decision. It also mentioned in its decision that, where there is a formal relationship between the parties, there may be an acceptable level of informality between the businesses.</w:t>
      </w:r>
    </w:p>
    <w:p>
      <w:r>
        <w:t>This decision clarifies that public perception carries little weight when deciding whether there is only one business.</w:t>
      </w:r>
    </w:p>
    <w:p>
      <w:r>
        <w:t xml:space="preserve"> Previous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