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VATSC03200 - Basic Principles And Underlying Law: Supply For VAT Purposes</w:t>
      </w:r>
    </w:p>
    <w:p>
      <w:r>
        <w:t>The first condition that a transaction must meet to fall within the scope of VAT is that it is a supply of goods or services.</w:t>
      </w:r>
    </w:p>
    <w:p>
      <w:r>
        <w:t>Before deciding whether goods or services are being supplied, you must first decide whether a transaction is a supply for VAT purposes.</w:t>
      </w:r>
    </w:p>
    <w:p>
      <w:r>
        <w:t>Under EU and UK law, there is a supply if someone does something or agrees to do something in return for a consideration. Such a supply may be effected by selling something, by hiring or renting something or by someone doing something for someone else (a service).</w:t>
      </w:r>
    </w:p>
    <w:p>
      <w:r>
        <w:t>Additionally, in certain circumstances, there can be a supply even if there is no consideration. There may also be instances where the transaction fails to be a supply or is disregarded for VAT purposes. You should therefore ascertain for a particular transaction:</w:t>
      </w:r>
    </w:p>
    <w:p>
      <w:r>
        <w:t>whether there is consideration (for example money, but not exclusively money)</w:t>
      </w:r>
    </w:p>
    <w:p>
      <w:r>
        <w:t>if there is no consideration whether the transaction is deemed by law to be a supply for VAT purposes</w:t>
      </w:r>
    </w:p>
    <w:p>
      <w:r>
        <w:t>whether the transaction fails to be a supply or is a supply to be disregarded for VAT purposes.</w:t>
      </w:r>
    </w:p>
    <w:p>
      <w:r>
        <w:t>VATSC03300, VATSC03400 and VATSC03500 give further background information on these points.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