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VATSC04700 - Basic Principles And Underlying Law: Self-Supply</w:t>
      </w:r>
    </w:p>
    <w:p>
      <w:r>
        <w:t>VAT Act 1994, Sections 5(5) and 5(6) provide for Treasury Orders to be made to deem that, in certain circumstances, a supply is made both to the business for the purpose of that business and by the business in course or furtherance of it. There is therefore a supply and output tax is due. This is known as a “self-supply”. Input tax may also be deducted subject to any restrictions, for example partial exemption.</w:t>
      </w:r>
    </w:p>
    <w:p>
      <w:r>
        <w:t>Self-supply provisions may be made to prevent a trader enjoying a commercial advantage over competitors by using goods produced or services provided from within the business, and/or a VAT advantage, for example where input tax is not wholly deductible and the trader avoids the loss of input tax by using goods or services provided from within the business.</w:t>
      </w:r>
    </w:p>
    <w:p>
      <w:r>
        <w:t>Current self-supply provisions made by Treasury Order in the form of SIs are:</w:t>
      </w:r>
    </w:p>
    <w:p>
      <w:r>
        <w:t>cars - VAT (Cars) Order 1992 (SI 1992/3122), Articles 5 and 7)</w:t>
      </w:r>
    </w:p>
    <w:p>
      <w:r>
        <w:t>stationery - VAT (Special Provisions) Order 1995 (SI 1995/1268), Article 11 (does not apply where the printed matter is produced from goods supplied to him on or after 1 June 2002) - see the PE - VAT Partial Exemption Guidance for more information</w:t>
      </w:r>
    </w:p>
    <w:p>
      <w:r>
        <w:t>construction services - VAT (Self-supply of Construction Services) Order 1989 (SI 1989/472) - see the PE- VAT Partial Exemption Guidance for further information.</w:t>
      </w:r>
    </w:p>
    <w:p>
      <w:r>
        <w:t>Other specific self-supply provisions made under primary legislation are:</w:t>
      </w:r>
    </w:p>
    <w:p>
      <w:r>
        <w:t>residential/charitable buildings: change of use - VAT Act 1994, Schedule 10, paragraph 1(5)</w:t>
      </w:r>
    </w:p>
    <w:p>
      <w:r>
        <w:t>certain non-domestic buildings - VAT Act 1994, Schedule 10, paragraph 6(1)</w:t>
      </w:r>
    </w:p>
    <w:p>
      <w:r>
        <w:t>acquisition of a business as a going concern by a partly exempt VAT group - VAT Act 1994, section 44.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