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VATSC05230 - Single-Use Carrier Bags: Contents</w:t>
      </w:r>
    </w:p>
    <w:p>
      <w:r>
        <w:t>VATSC05232    Introduction</w:t>
      </w:r>
    </w:p>
    <w:p>
      <w:r>
        <w:t>VATSC05234    Definition</w:t>
      </w:r>
    </w:p>
    <w:p>
      <w:r>
        <w:t>VATSC05236    Compulsory charge in England</w:t>
      </w:r>
    </w:p>
    <w:p>
      <w:r>
        <w:t>VATSC05238    Levy in Northern Ireland</w:t>
      </w:r>
    </w:p>
    <w:p>
      <w:r>
        <w:t>VATSC05240    Compulsory charge in Scotland</w:t>
      </w:r>
    </w:p>
    <w:p>
      <w:r>
        <w:t>VATSC05242    Compulsory charge in Wales</w:t>
      </w:r>
    </w:p>
    <w:p>
      <w:r>
        <w:t>VATSC05244    Specific circumstances: contents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