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VATSC05232 - Single-Use Carrier Bags: Introduction</w:t>
      </w:r>
    </w:p>
    <w:p>
      <w:r>
        <w:t>Legislation introduced separately by Parliaments in England and Scotland and the national assemblies in Wales and Northern Ireland imposed a minimum charge across the United Kingdom on the supply of certain carrier bags. The charges are intended to protect the environment by encouraging a reduction in the use of these potentially harmful products.</w:t>
      </w:r>
    </w:p>
    <w:p>
      <w:r>
        <w:t>These are not VAT measures and HMRC has no authority to ensure the charges are applied.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