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VATSC20000 - Further Guidance On Identifying Supply: Supplies Of Goods For No Consideration: Contents</w:t>
      </w:r>
    </w:p>
    <w:p>
      <w:r>
        <w:t>VATSC21000    Goods which are business assets</w:t>
      </w:r>
    </w:p>
    <w:p>
      <w:r>
        <w:t>VATSC22000    Business gifts</w:t>
      </w:r>
    </w:p>
    <w:p>
      <w:r>
        <w:t>VATSC23000    Supplies to employees - benefits in kind</w:t>
      </w:r>
    </w:p>
    <w:p>
      <w:r>
        <w:t>VATSC23200    Competition prizes (including motor cars)</w:t>
      </w:r>
    </w:p>
    <w:p>
      <w:r>
        <w:t>VATSC23400    Samples</w:t>
      </w:r>
    </w:p>
    <w:p>
      <w:r>
        <w:t>VATSC23600    Goods which are business assets on hand at deregistration</w:t>
      </w:r>
    </w:p>
    <w:p>
      <w:r>
        <w:t>VATSC24000    Disposal of assets and application to non-business use - when output tax is due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