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VATSC22000 - Business Gifts: Contents</w:t>
      </w:r>
    </w:p>
    <w:p>
      <w:r>
        <w:t>VATSC22100    Further guidance on identifying supply: Supplies of goods for no consideration: Business gifts: Background</w:t>
      </w:r>
    </w:p>
    <w:p>
      <w:r>
        <w:t>VATSC22200    Further guidance on identifying supply: Supplies of goods for no consideration: Business gifts: Value limit</w:t>
      </w:r>
    </w:p>
    <w:p>
      <w:r>
        <w:t>VATSC22300    Further guidance on identifying supply: Supplies of goods for no consideration: Business gifts: Series or succession</w:t>
      </w:r>
    </w:p>
    <w:p>
      <w:r>
        <w:t>VATSC22400    Further guidance on identifying supply: Supplies of goods for no consideration: Business gifts: Inducements</w:t>
      </w:r>
    </w:p>
    <w:p>
      <w:r>
        <w:t>VATSC22500    Further guidance on identifying supply: Supplies of goods for no consideration: Business gifts: Input tax claims on gifts for use in the recipient’s business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