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VATSC34000 - Consideration: Compensation Payments: Contents</w:t>
      </w:r>
    </w:p>
    <w:p>
      <w:r>
        <w:t>VATSC35000    Consideration: Compensation payments - The issue</w:t>
      </w:r>
    </w:p>
    <w:p>
      <w:r>
        <w:t>VATSC35400    Consideration: Compensation payments: Early termination of contracts</w:t>
      </w:r>
    </w:p>
    <w:p>
      <w:r>
        <w:t>VATSC35600    Consideration: Compensation payments: Liquidated damages, termination of leases of goods and breaches of contract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