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VATSC36400 - Discussion With The Law Society: Contents</w:t>
      </w:r>
    </w:p>
    <w:p>
      <w:r>
        <w:t>VATSC36600    Consideration: Settlement of disputes: Discussion with the Law Society: Introduction</w:t>
      </w:r>
    </w:p>
    <w:p>
      <w:r>
        <w:t>VATSC36800    Consideration: Settlement of disputes: Discussion with the Law Society: Customs and Excise’s original approach</w:t>
      </w:r>
    </w:p>
    <w:p>
      <w:r>
        <w:t>VATSC37000    Consideration: Settlement of disputes: Discussion with the Law Society: Press Notice 82/87</w:t>
      </w:r>
    </w:p>
    <w:p>
      <w:r>
        <w:t>VATSC37200    Consideration: Settlement of disputes: Discussion with the Law Society: Cooper Chasney Limited v CCE (LON/89/14092)</w:t>
      </w:r>
    </w:p>
    <w:p>
      <w:r>
        <w:t>VATSC37400    Consideration: Settlement of disputes: Discussion with the Law Society: Practical consequences</w:t>
      </w:r>
    </w:p>
    <w:p>
      <w:r>
        <w:t>VATSC37600    Consideration: Settlement of disputes: Discussion with the Law Society: Specific examples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